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E16" w:rsidRDefault="00EA32AE">
      <w:pPr>
        <w:jc w:val="left"/>
        <w:rPr>
          <w:rFonts w:ascii="仿宋" w:eastAsia="仿宋" w:hAnsi="仿宋"/>
          <w:sz w:val="32"/>
        </w:rPr>
      </w:pPr>
      <w:r>
        <w:rPr>
          <w:rFonts w:ascii="黑体" w:eastAsia="黑体" w:hint="eastAsia"/>
          <w:sz w:val="32"/>
        </w:rPr>
        <w:t>附件</w:t>
      </w:r>
      <w:r w:rsidR="001B2328">
        <w:rPr>
          <w:rFonts w:ascii="黑体" w:eastAsia="黑体" w:hint="eastAsia"/>
          <w:sz w:val="32"/>
        </w:rPr>
        <w:t>3</w:t>
      </w:r>
    </w:p>
    <w:p w:rsidR="00104E16" w:rsidRDefault="00EA32AE">
      <w:pPr>
        <w:jc w:val="left"/>
        <w:rPr>
          <w:rFonts w:ascii="黑体" w:eastAsia="黑体"/>
          <w:sz w:val="32"/>
        </w:rPr>
      </w:pPr>
      <w:r>
        <w:rPr>
          <w:rFonts w:ascii="黑体" w:eastAsia="黑体" w:hint="eastAsia"/>
          <w:sz w:val="32"/>
        </w:rPr>
        <w:t>合同编号：</w:t>
      </w:r>
      <w:bookmarkStart w:id="0" w:name="PO_zzhtbh"/>
      <w:bookmarkEnd w:id="0"/>
    </w:p>
    <w:p w:rsidR="00104E16" w:rsidRDefault="00104E16">
      <w:pPr>
        <w:jc w:val="center"/>
        <w:rPr>
          <w:rFonts w:ascii="宋体" w:hAnsi="宋体" w:cs="宋体"/>
          <w:b/>
          <w:bCs/>
          <w:color w:val="000000"/>
          <w:sz w:val="32"/>
          <w:szCs w:val="32"/>
        </w:rPr>
      </w:pPr>
    </w:p>
    <w:p w:rsidR="009B36D1" w:rsidRDefault="009B36D1">
      <w:pPr>
        <w:jc w:val="center"/>
        <w:rPr>
          <w:rFonts w:ascii="宋体" w:hAnsi="宋体" w:cs="宋体"/>
          <w:b/>
          <w:bCs/>
          <w:color w:val="000000"/>
          <w:sz w:val="32"/>
          <w:szCs w:val="32"/>
        </w:rPr>
      </w:pPr>
    </w:p>
    <w:p w:rsidR="00D95591" w:rsidRDefault="00D95591" w:rsidP="00D95591">
      <w:pPr>
        <w:jc w:val="center"/>
        <w:rPr>
          <w:rFonts w:ascii="黑体" w:eastAsia="黑体" w:hAnsi="黑体"/>
          <w:kern w:val="0"/>
          <w:sz w:val="44"/>
          <w:szCs w:val="44"/>
        </w:rPr>
      </w:pPr>
      <w:r>
        <w:rPr>
          <w:rFonts w:ascii="黑体" w:eastAsia="黑体" w:hAnsi="黑体" w:hint="eastAsia"/>
          <w:kern w:val="0"/>
          <w:sz w:val="44"/>
          <w:szCs w:val="44"/>
        </w:rPr>
        <w:t xml:space="preserve">   </w:t>
      </w:r>
      <w:r w:rsidR="00EA32AE">
        <w:rPr>
          <w:rFonts w:ascii="黑体" w:eastAsia="黑体" w:hAnsi="黑体" w:hint="eastAsia"/>
          <w:kern w:val="0"/>
          <w:sz w:val="44"/>
          <w:szCs w:val="44"/>
        </w:rPr>
        <w:t>浙江省售电公司、电力市场化零售用户及</w:t>
      </w:r>
      <w:r>
        <w:rPr>
          <w:rFonts w:ascii="黑体" w:eastAsia="黑体" w:hAnsi="黑体" w:hint="eastAsia"/>
          <w:kern w:val="0"/>
          <w:sz w:val="44"/>
          <w:szCs w:val="44"/>
        </w:rPr>
        <w:t xml:space="preserve">    </w:t>
      </w:r>
    </w:p>
    <w:p w:rsidR="00104E16" w:rsidRDefault="00D95591" w:rsidP="00D95591">
      <w:pPr>
        <w:jc w:val="center"/>
        <w:rPr>
          <w:rFonts w:ascii="黑体" w:eastAsia="黑体" w:hAnsi="黑体"/>
          <w:kern w:val="0"/>
          <w:sz w:val="44"/>
          <w:szCs w:val="44"/>
        </w:rPr>
      </w:pPr>
      <w:r>
        <w:rPr>
          <w:rFonts w:ascii="黑体" w:eastAsia="黑体" w:hAnsi="黑体" w:hint="eastAsia"/>
          <w:kern w:val="0"/>
          <w:sz w:val="44"/>
          <w:szCs w:val="44"/>
        </w:rPr>
        <w:t xml:space="preserve">    </w:t>
      </w:r>
      <w:r w:rsidR="00EA32AE">
        <w:rPr>
          <w:rFonts w:ascii="黑体" w:eastAsia="黑体" w:hAnsi="黑体" w:hint="eastAsia"/>
          <w:kern w:val="0"/>
          <w:sz w:val="44"/>
          <w:szCs w:val="44"/>
        </w:rPr>
        <w:t>电网企业</w:t>
      </w:r>
      <w:proofErr w:type="gramStart"/>
      <w:r w:rsidR="00EA32AE">
        <w:rPr>
          <w:rFonts w:ascii="黑体" w:eastAsia="黑体" w:hAnsi="黑体" w:hint="eastAsia"/>
          <w:kern w:val="0"/>
          <w:sz w:val="44"/>
          <w:szCs w:val="44"/>
        </w:rPr>
        <w:t>三方购售电</w:t>
      </w:r>
      <w:proofErr w:type="gramEnd"/>
      <w:r w:rsidR="00EA32AE">
        <w:rPr>
          <w:rFonts w:ascii="黑体" w:eastAsia="黑体" w:hAnsi="黑体" w:hint="eastAsia"/>
          <w:kern w:val="0"/>
          <w:sz w:val="44"/>
          <w:szCs w:val="44"/>
        </w:rPr>
        <w:t>合同（202</w:t>
      </w:r>
      <w:r w:rsidR="00CC49D4">
        <w:rPr>
          <w:rFonts w:ascii="黑体" w:eastAsia="黑体" w:hAnsi="黑体" w:hint="eastAsia"/>
          <w:kern w:val="0"/>
          <w:sz w:val="44"/>
          <w:szCs w:val="44"/>
        </w:rPr>
        <w:t>1</w:t>
      </w:r>
      <w:r w:rsidR="00EA32AE">
        <w:rPr>
          <w:rFonts w:ascii="黑体" w:eastAsia="黑体" w:hAnsi="黑体" w:hint="eastAsia"/>
          <w:kern w:val="0"/>
          <w:sz w:val="44"/>
          <w:szCs w:val="44"/>
        </w:rPr>
        <w:t>年版）</w:t>
      </w:r>
    </w:p>
    <w:p w:rsidR="00104E16" w:rsidRDefault="00584518" w:rsidP="00D1289F">
      <w:pPr>
        <w:jc w:val="center"/>
        <w:rPr>
          <w:rFonts w:ascii="宋体" w:hAnsi="宋体" w:cs="宋体"/>
          <w:b/>
          <w:bCs/>
          <w:color w:val="000000"/>
          <w:sz w:val="32"/>
          <w:szCs w:val="32"/>
        </w:rPr>
      </w:pPr>
      <w:r>
        <w:rPr>
          <w:rFonts w:ascii="黑体" w:eastAsia="黑体" w:hAnsi="黑体" w:hint="eastAsia"/>
          <w:kern w:val="0"/>
          <w:sz w:val="44"/>
          <w:szCs w:val="44"/>
        </w:rPr>
        <w:t xml:space="preserve"> </w:t>
      </w:r>
      <w:r w:rsidR="00D95591">
        <w:rPr>
          <w:rFonts w:ascii="黑体" w:eastAsia="黑体" w:hAnsi="黑体" w:hint="eastAsia"/>
          <w:kern w:val="0"/>
          <w:sz w:val="44"/>
          <w:szCs w:val="44"/>
        </w:rPr>
        <w:t xml:space="preserve">  </w:t>
      </w:r>
      <w:r w:rsidR="00EA32AE">
        <w:rPr>
          <w:rFonts w:ascii="黑体" w:eastAsia="黑体" w:hAnsi="黑体" w:hint="eastAsia"/>
          <w:kern w:val="0"/>
          <w:sz w:val="44"/>
          <w:szCs w:val="44"/>
        </w:rPr>
        <w:t>（示范文本）</w:t>
      </w:r>
    </w:p>
    <w:p w:rsidR="00104E16" w:rsidRDefault="00104E16">
      <w:pPr>
        <w:jc w:val="center"/>
        <w:rPr>
          <w:rFonts w:ascii="宋体" w:hAnsi="宋体" w:cs="宋体"/>
          <w:b/>
          <w:bCs/>
          <w:color w:val="000000"/>
          <w:sz w:val="32"/>
          <w:szCs w:val="32"/>
        </w:rPr>
      </w:pPr>
    </w:p>
    <w:p w:rsidR="00104E16" w:rsidRDefault="00104E16">
      <w:pPr>
        <w:jc w:val="center"/>
        <w:rPr>
          <w:rFonts w:ascii="宋体" w:hAnsi="宋体" w:cs="宋体"/>
          <w:b/>
          <w:bCs/>
          <w:color w:val="000000"/>
          <w:sz w:val="32"/>
          <w:szCs w:val="32"/>
        </w:rPr>
      </w:pPr>
    </w:p>
    <w:p w:rsidR="00104E16" w:rsidRDefault="00104E16">
      <w:pPr>
        <w:rPr>
          <w:rFonts w:ascii="宋体" w:hAnsi="宋体" w:cs="宋体"/>
          <w:b/>
          <w:bCs/>
          <w:color w:val="000000"/>
          <w:sz w:val="32"/>
          <w:szCs w:val="32"/>
        </w:rPr>
      </w:pPr>
    </w:p>
    <w:p w:rsidR="00104E16" w:rsidRDefault="00104E16">
      <w:pPr>
        <w:jc w:val="center"/>
        <w:rPr>
          <w:rFonts w:ascii="宋体" w:hAnsi="宋体" w:cs="宋体"/>
          <w:b/>
          <w:bCs/>
          <w:color w:val="000000"/>
          <w:sz w:val="32"/>
          <w:szCs w:val="32"/>
        </w:rPr>
      </w:pPr>
    </w:p>
    <w:p w:rsidR="00104E16" w:rsidRDefault="00EA32AE">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 xml:space="preserve">甲方（售电方，售电公司）： </w:t>
      </w:r>
    </w:p>
    <w:p w:rsidR="00104E16" w:rsidRDefault="00EA32AE">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 xml:space="preserve">               </w:t>
      </w:r>
    </w:p>
    <w:p w:rsidR="00104E16" w:rsidRDefault="00EA32AE">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乙方（购电方，零售用户）：</w:t>
      </w:r>
    </w:p>
    <w:p w:rsidR="00104E16" w:rsidRDefault="00EA32AE">
      <w:pPr>
        <w:spacing w:line="500" w:lineRule="exact"/>
        <w:ind w:firstLineChars="200" w:firstLine="640"/>
        <w:rPr>
          <w:rFonts w:ascii="仿宋_GB2312" w:eastAsia="仿宋_GB2312" w:hAnsi="Calibri"/>
          <w:sz w:val="32"/>
          <w:szCs w:val="32"/>
        </w:rPr>
      </w:pPr>
      <w:r>
        <w:rPr>
          <w:rFonts w:ascii="仿宋_GB2312" w:eastAsia="仿宋_GB2312" w:hAnsi="Calibri" w:hint="eastAsia"/>
          <w:sz w:val="32"/>
          <w:szCs w:val="32"/>
        </w:rPr>
        <w:t xml:space="preserve">                </w:t>
      </w:r>
    </w:p>
    <w:p w:rsidR="00104E16" w:rsidRDefault="00EA32AE">
      <w:pPr>
        <w:spacing w:line="500" w:lineRule="exact"/>
        <w:ind w:firstLineChars="200" w:firstLine="640"/>
        <w:rPr>
          <w:rFonts w:ascii="仿宋" w:eastAsia="仿宋" w:hAnsi="仿宋"/>
          <w:kern w:val="0"/>
          <w:sz w:val="32"/>
        </w:rPr>
      </w:pPr>
      <w:r>
        <w:rPr>
          <w:rFonts w:ascii="仿宋_GB2312" w:eastAsia="仿宋_GB2312" w:hAnsi="Calibri" w:hint="eastAsia"/>
          <w:sz w:val="32"/>
          <w:szCs w:val="32"/>
        </w:rPr>
        <w:t>丙方（输配电方，电网企业）：</w:t>
      </w:r>
      <w:r>
        <w:rPr>
          <w:rFonts w:ascii="仿宋" w:eastAsia="仿宋" w:hAnsi="仿宋" w:hint="eastAsia"/>
          <w:kern w:val="0"/>
          <w:sz w:val="32"/>
        </w:rPr>
        <w:t xml:space="preserve">                </w:t>
      </w:r>
    </w:p>
    <w:p w:rsidR="00104E16" w:rsidRDefault="00104E16">
      <w:pPr>
        <w:ind w:firstLineChars="400" w:firstLine="1285"/>
        <w:rPr>
          <w:rFonts w:ascii="宋体" w:hAnsi="宋体" w:cs="宋体"/>
          <w:b/>
          <w:bCs/>
          <w:color w:val="000000"/>
          <w:sz w:val="32"/>
          <w:szCs w:val="32"/>
          <w:u w:val="single"/>
        </w:rPr>
      </w:pPr>
    </w:p>
    <w:p w:rsidR="00104E16" w:rsidRDefault="00104E16">
      <w:pPr>
        <w:ind w:firstLineChars="400" w:firstLine="1285"/>
        <w:rPr>
          <w:rFonts w:ascii="宋体" w:hAnsi="宋体" w:cs="宋体"/>
          <w:b/>
          <w:bCs/>
          <w:color w:val="000000"/>
          <w:sz w:val="32"/>
          <w:szCs w:val="32"/>
          <w:u w:val="single"/>
        </w:rPr>
      </w:pPr>
    </w:p>
    <w:p w:rsidR="00104E16" w:rsidRDefault="00104E16">
      <w:pPr>
        <w:ind w:firstLineChars="400" w:firstLine="1285"/>
        <w:rPr>
          <w:rFonts w:ascii="宋体" w:hAnsi="宋体" w:cs="宋体"/>
          <w:b/>
          <w:bCs/>
          <w:color w:val="000000"/>
          <w:sz w:val="32"/>
          <w:szCs w:val="32"/>
          <w:u w:val="single"/>
        </w:rPr>
      </w:pPr>
    </w:p>
    <w:p w:rsidR="00104E16" w:rsidRDefault="00104E16">
      <w:pPr>
        <w:ind w:firstLineChars="400" w:firstLine="1285"/>
        <w:rPr>
          <w:rFonts w:ascii="宋体" w:hAnsi="宋体" w:cs="宋体"/>
          <w:b/>
          <w:bCs/>
          <w:color w:val="000000"/>
          <w:sz w:val="32"/>
          <w:szCs w:val="32"/>
          <w:u w:val="single"/>
        </w:rPr>
      </w:pPr>
    </w:p>
    <w:p w:rsidR="00104E16" w:rsidRDefault="00104E16">
      <w:pPr>
        <w:ind w:firstLineChars="400" w:firstLine="1285"/>
        <w:rPr>
          <w:rFonts w:ascii="宋体" w:hAnsi="宋体" w:cs="宋体"/>
          <w:b/>
          <w:bCs/>
          <w:color w:val="000000"/>
          <w:sz w:val="32"/>
          <w:szCs w:val="32"/>
          <w:u w:val="single"/>
        </w:rPr>
      </w:pPr>
    </w:p>
    <w:p w:rsidR="00104E16" w:rsidRDefault="00104E16">
      <w:pPr>
        <w:ind w:firstLineChars="400" w:firstLine="1285"/>
        <w:rPr>
          <w:rFonts w:ascii="宋体" w:hAnsi="宋体" w:cs="宋体"/>
          <w:b/>
          <w:bCs/>
          <w:color w:val="000000"/>
          <w:sz w:val="32"/>
          <w:szCs w:val="32"/>
          <w:u w:val="single"/>
        </w:rPr>
      </w:pPr>
    </w:p>
    <w:p w:rsidR="00104E16" w:rsidRDefault="00D95591">
      <w:pPr>
        <w:jc w:val="center"/>
        <w:rPr>
          <w:rFonts w:ascii="黑体" w:eastAsia="黑体"/>
          <w:sz w:val="28"/>
          <w:szCs w:val="28"/>
        </w:rPr>
      </w:pPr>
      <w:r>
        <w:rPr>
          <w:rFonts w:ascii="黑体" w:eastAsia="黑体" w:hint="eastAsia"/>
          <w:sz w:val="28"/>
          <w:szCs w:val="28"/>
        </w:rPr>
        <w:t xml:space="preserve">     </w:t>
      </w:r>
      <w:r w:rsidR="00EA32AE">
        <w:rPr>
          <w:rFonts w:ascii="黑体" w:eastAsia="黑体" w:hint="eastAsia"/>
          <w:sz w:val="28"/>
          <w:szCs w:val="28"/>
        </w:rPr>
        <w:t>国家能源局浙江监管办公室制定</w:t>
      </w:r>
    </w:p>
    <w:p w:rsidR="00AB791D" w:rsidRDefault="00AB791D">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Cs w:val="44"/>
        </w:rPr>
      </w:pPr>
      <w:bookmarkStart w:id="1" w:name="_Toc21444711"/>
      <w:bookmarkStart w:id="2" w:name="_Toc21444505"/>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Cs w:val="44"/>
        </w:rPr>
      </w:pPr>
      <w:r>
        <w:rPr>
          <w:rFonts w:ascii="黑体" w:eastAsia="黑体" w:hAnsi="Calibri"/>
          <w:kern w:val="0"/>
          <w:szCs w:val="44"/>
        </w:rPr>
        <w:t>说    明</w:t>
      </w:r>
      <w:bookmarkEnd w:id="1"/>
      <w:bookmarkEnd w:id="2"/>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一、本合同依据有关法律法规和《中共中央国务院关于进一步深化电力体制改革的若干意见》（中发〔2015〕9号）以及</w:t>
      </w:r>
      <w:r>
        <w:rPr>
          <w:rFonts w:ascii="仿宋_GB2312" w:eastAsia="仿宋_GB2312" w:hint="eastAsia"/>
          <w:sz w:val="32"/>
        </w:rPr>
        <w:t>《浙江省中长期电力交易暂行规则（2020年修订版）》</w:t>
      </w:r>
      <w:r>
        <w:rPr>
          <w:rFonts w:ascii="仿宋_GB2312" w:eastAsia="仿宋_GB2312" w:hAnsi="仿宋_GB2312" w:cs="仿宋_GB2312" w:hint="eastAsia"/>
          <w:color w:val="000000"/>
          <w:sz w:val="32"/>
          <w:szCs w:val="32"/>
        </w:rPr>
        <w:t>等文件精神制定，适用于售电公司、零售用户、电网企业三方之间的市场化电力交易。</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二、本合同三方按照自愿原则签订，并同意依据本合同的约定进行零售市场交易。</w:t>
      </w:r>
    </w:p>
    <w:p w:rsidR="00104E16" w:rsidRDefault="00EA32AE">
      <w:pPr>
        <w:tabs>
          <w:tab w:val="left" w:pos="1260"/>
        </w:tabs>
        <w:wordWrap w:val="0"/>
        <w:spacing w:line="6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三、本合同三方可根据具体情况在公平、合理和协商一致的基础上进行补充约定。</w:t>
      </w:r>
    </w:p>
    <w:p w:rsidR="00104E16" w:rsidRDefault="00EA32AE">
      <w:pPr>
        <w:spacing w:line="560" w:lineRule="exact"/>
        <w:ind w:firstLineChars="200" w:firstLine="640"/>
        <w:rPr>
          <w:rFonts w:ascii="黑体" w:eastAsia="仿宋_GB2312" w:hAnsi="宋体"/>
          <w:sz w:val="32"/>
        </w:rPr>
      </w:pPr>
      <w:r>
        <w:rPr>
          <w:rFonts w:ascii="仿宋_GB2312" w:eastAsia="仿宋_GB2312" w:hAnsi="仿宋_GB2312" w:cs="仿宋_GB2312" w:hint="eastAsia"/>
          <w:color w:val="000000"/>
          <w:sz w:val="32"/>
          <w:szCs w:val="32"/>
        </w:rPr>
        <w:t>四、</w:t>
      </w:r>
      <w:r>
        <w:rPr>
          <w:rFonts w:ascii="仿宋_GB2312" w:eastAsia="仿宋_GB2312" w:hint="eastAsia"/>
          <w:sz w:val="32"/>
        </w:rPr>
        <w:t>如国家法律、法规发生变化或者政府有关部门、监管机构出台有关规定、规则，</w:t>
      </w:r>
      <w:r>
        <w:rPr>
          <w:rFonts w:ascii="黑体" w:eastAsia="仿宋_GB2312" w:hAnsi="宋体" w:hint="eastAsia"/>
          <w:sz w:val="32"/>
        </w:rPr>
        <w:t>合同三方应</w:t>
      </w:r>
      <w:r>
        <w:rPr>
          <w:rFonts w:ascii="仿宋_GB2312" w:eastAsia="仿宋_GB2312" w:hint="eastAsia"/>
          <w:sz w:val="32"/>
        </w:rPr>
        <w:t>按照法律、法规、规定和规则予以调整和修改</w:t>
      </w:r>
      <w:r>
        <w:rPr>
          <w:rFonts w:ascii="黑体" w:eastAsia="仿宋_GB2312" w:hAnsi="宋体" w:hint="eastAsia"/>
          <w:sz w:val="32"/>
        </w:rPr>
        <w:t>。</w:t>
      </w:r>
    </w:p>
    <w:p w:rsidR="00104E16" w:rsidRDefault="00104E16">
      <w:pPr>
        <w:pStyle w:val="1"/>
        <w:keepNext w:val="0"/>
        <w:keepLines w:val="0"/>
        <w:autoSpaceDE w:val="0"/>
        <w:autoSpaceDN w:val="0"/>
        <w:adjustRightInd w:val="0"/>
        <w:snapToGrid w:val="0"/>
        <w:spacing w:before="0" w:after="0" w:line="560" w:lineRule="exact"/>
        <w:jc w:val="center"/>
        <w:textAlignment w:val="baseline"/>
        <w:rPr>
          <w:rFonts w:hint="default"/>
          <w:color w:val="000000"/>
          <w:sz w:val="32"/>
          <w:szCs w:val="32"/>
        </w:rPr>
        <w:sectPr w:rsidR="00104E16" w:rsidSect="009B36D1">
          <w:footerReference w:type="first" r:id="rId9"/>
          <w:pgSz w:w="11906" w:h="16838"/>
          <w:pgMar w:top="1440" w:right="1440" w:bottom="1440" w:left="1800" w:header="851" w:footer="992" w:gutter="0"/>
          <w:pgNumType w:start="0"/>
          <w:cols w:space="0"/>
          <w:titlePg/>
          <w:docGrid w:type="lines" w:linePitch="312"/>
        </w:sectPr>
      </w:pPr>
    </w:p>
    <w:p w:rsidR="00104E16" w:rsidRDefault="00EA32AE">
      <w:pPr>
        <w:pStyle w:val="10"/>
        <w:tabs>
          <w:tab w:val="clear" w:pos="8296"/>
          <w:tab w:val="right" w:leader="middleDot" w:pos="9060"/>
        </w:tabs>
        <w:ind w:firstLineChars="800" w:firstLine="3520"/>
        <w:jc w:val="both"/>
        <w:rPr>
          <w:rFonts w:hAnsi="Times New Roman"/>
          <w:sz w:val="44"/>
          <w:szCs w:val="44"/>
        </w:rPr>
      </w:pPr>
      <w:r>
        <w:rPr>
          <w:rFonts w:hAnsi="Times New Roman" w:hint="eastAsia"/>
          <w:sz w:val="44"/>
          <w:szCs w:val="44"/>
        </w:rPr>
        <w:lastRenderedPageBreak/>
        <w:t>目　　录</w:t>
      </w:r>
    </w:p>
    <w:p w:rsidR="00104E16" w:rsidRDefault="00EA32AE">
      <w:pPr>
        <w:pStyle w:val="10"/>
        <w:tabs>
          <w:tab w:val="clear" w:pos="8296"/>
          <w:tab w:val="right" w:leader="middleDot" w:pos="9060"/>
        </w:tabs>
        <w:jc w:val="both"/>
        <w:rPr>
          <w:sz w:val="32"/>
          <w:szCs w:val="32"/>
        </w:rPr>
      </w:pPr>
      <w:r>
        <w:rPr>
          <w:sz w:val="32"/>
          <w:szCs w:val="32"/>
        </w:rPr>
        <w:fldChar w:fldCharType="begin"/>
      </w:r>
      <w:r>
        <w:rPr>
          <w:sz w:val="32"/>
          <w:szCs w:val="32"/>
        </w:rPr>
        <w:instrText xml:space="preserve"> TOC \o "1-3" \h \z \u </w:instrText>
      </w:r>
      <w:r>
        <w:rPr>
          <w:sz w:val="32"/>
          <w:szCs w:val="32"/>
        </w:rPr>
        <w:fldChar w:fldCharType="separate"/>
      </w:r>
    </w:p>
    <w:p w:rsidR="00104E16" w:rsidRDefault="001464AF">
      <w:pPr>
        <w:pStyle w:val="10"/>
        <w:tabs>
          <w:tab w:val="clear" w:pos="8296"/>
          <w:tab w:val="right" w:leader="middleDot" w:pos="9060"/>
        </w:tabs>
        <w:spacing w:line="360" w:lineRule="auto"/>
        <w:jc w:val="both"/>
        <w:rPr>
          <w:sz w:val="32"/>
          <w:szCs w:val="32"/>
        </w:rPr>
      </w:pPr>
      <w:hyperlink w:anchor="_Toc21444712" w:history="1">
        <w:r w:rsidR="00EA32AE">
          <w:rPr>
            <w:sz w:val="32"/>
            <w:szCs w:val="32"/>
          </w:rPr>
          <w:t>第1章 定义和解释</w:t>
        </w:r>
        <w:r w:rsidR="00EA32AE">
          <w:rPr>
            <w:sz w:val="32"/>
            <w:szCs w:val="32"/>
          </w:rPr>
          <w:tab/>
        </w:r>
      </w:hyperlink>
      <w:r w:rsidR="00EA32AE">
        <w:rPr>
          <w:rFonts w:hint="eastAsia"/>
          <w:sz w:val="32"/>
          <w:szCs w:val="32"/>
        </w:rPr>
        <w:t>3</w:t>
      </w:r>
    </w:p>
    <w:p w:rsidR="00104E16" w:rsidRDefault="001464AF">
      <w:pPr>
        <w:pStyle w:val="10"/>
        <w:tabs>
          <w:tab w:val="clear" w:pos="8296"/>
          <w:tab w:val="right" w:leader="middleDot" w:pos="9060"/>
        </w:tabs>
        <w:spacing w:line="360" w:lineRule="auto"/>
        <w:jc w:val="both"/>
        <w:rPr>
          <w:sz w:val="32"/>
          <w:szCs w:val="32"/>
        </w:rPr>
      </w:pPr>
      <w:hyperlink w:anchor="_Toc21444713" w:history="1">
        <w:r w:rsidR="00EA32AE">
          <w:rPr>
            <w:sz w:val="32"/>
            <w:szCs w:val="32"/>
          </w:rPr>
          <w:t>第2章 三方陈述</w:t>
        </w:r>
        <w:r w:rsidR="00EA32AE">
          <w:rPr>
            <w:sz w:val="32"/>
            <w:szCs w:val="32"/>
          </w:rPr>
          <w:tab/>
        </w:r>
      </w:hyperlink>
      <w:r w:rsidR="003279C7">
        <w:rPr>
          <w:rFonts w:hint="eastAsia"/>
          <w:sz w:val="32"/>
          <w:szCs w:val="32"/>
        </w:rPr>
        <w:t>5</w:t>
      </w:r>
    </w:p>
    <w:p w:rsidR="00104E16" w:rsidRDefault="001464AF">
      <w:pPr>
        <w:pStyle w:val="10"/>
        <w:tabs>
          <w:tab w:val="clear" w:pos="8296"/>
          <w:tab w:val="right" w:leader="middleDot" w:pos="9060"/>
        </w:tabs>
        <w:spacing w:line="360" w:lineRule="auto"/>
        <w:jc w:val="both"/>
        <w:rPr>
          <w:sz w:val="32"/>
          <w:szCs w:val="32"/>
        </w:rPr>
      </w:pPr>
      <w:hyperlink w:anchor="_Toc21444714" w:history="1">
        <w:r w:rsidR="00EA32AE">
          <w:rPr>
            <w:sz w:val="32"/>
            <w:szCs w:val="32"/>
          </w:rPr>
          <w:t>第3章 三方的权利和义务</w:t>
        </w:r>
        <w:r w:rsidR="00EA32AE">
          <w:rPr>
            <w:sz w:val="32"/>
            <w:szCs w:val="32"/>
          </w:rPr>
          <w:tab/>
        </w:r>
      </w:hyperlink>
      <w:r w:rsidR="003279C7">
        <w:rPr>
          <w:rFonts w:hint="eastAsia"/>
          <w:sz w:val="32"/>
          <w:szCs w:val="32"/>
        </w:rPr>
        <w:t>6</w:t>
      </w:r>
    </w:p>
    <w:p w:rsidR="00104E16" w:rsidRDefault="001464AF">
      <w:pPr>
        <w:pStyle w:val="10"/>
        <w:tabs>
          <w:tab w:val="clear" w:pos="8296"/>
          <w:tab w:val="right" w:leader="middleDot" w:pos="9060"/>
        </w:tabs>
        <w:spacing w:line="360" w:lineRule="auto"/>
        <w:jc w:val="both"/>
        <w:rPr>
          <w:sz w:val="32"/>
          <w:szCs w:val="32"/>
        </w:rPr>
      </w:pPr>
      <w:hyperlink w:anchor="_Toc21444715" w:history="1">
        <w:r w:rsidR="00EA32AE">
          <w:rPr>
            <w:sz w:val="32"/>
            <w:szCs w:val="32"/>
          </w:rPr>
          <w:t>第4章 电量、电价与电费</w:t>
        </w:r>
        <w:r w:rsidR="00EA32AE">
          <w:rPr>
            <w:sz w:val="32"/>
            <w:szCs w:val="32"/>
          </w:rPr>
          <w:tab/>
        </w:r>
      </w:hyperlink>
      <w:r w:rsidR="003279C7">
        <w:rPr>
          <w:rFonts w:hint="eastAsia"/>
          <w:sz w:val="32"/>
          <w:szCs w:val="32"/>
        </w:rPr>
        <w:t>8</w:t>
      </w:r>
    </w:p>
    <w:p w:rsidR="00104E16" w:rsidRDefault="001464AF">
      <w:pPr>
        <w:pStyle w:val="10"/>
        <w:tabs>
          <w:tab w:val="clear" w:pos="8296"/>
          <w:tab w:val="right" w:leader="middleDot" w:pos="9060"/>
        </w:tabs>
        <w:spacing w:line="360" w:lineRule="auto"/>
        <w:jc w:val="both"/>
        <w:rPr>
          <w:sz w:val="32"/>
          <w:szCs w:val="32"/>
        </w:rPr>
      </w:pPr>
      <w:hyperlink w:anchor="_Toc21444716" w:history="1">
        <w:r w:rsidR="00EA32AE">
          <w:rPr>
            <w:sz w:val="32"/>
            <w:szCs w:val="32"/>
          </w:rPr>
          <w:t>第5章 保底供电服务</w:t>
        </w:r>
        <w:r w:rsidR="00EA32AE">
          <w:rPr>
            <w:sz w:val="32"/>
            <w:szCs w:val="32"/>
          </w:rPr>
          <w:tab/>
        </w:r>
      </w:hyperlink>
      <w:r w:rsidR="00EA32AE">
        <w:rPr>
          <w:rFonts w:hint="eastAsia"/>
          <w:sz w:val="32"/>
          <w:szCs w:val="32"/>
        </w:rPr>
        <w:t>1</w:t>
      </w:r>
      <w:r w:rsidR="003279C7">
        <w:rPr>
          <w:rFonts w:hint="eastAsia"/>
          <w:sz w:val="32"/>
          <w:szCs w:val="32"/>
        </w:rPr>
        <w:t>1</w:t>
      </w:r>
    </w:p>
    <w:p w:rsidR="00104E16" w:rsidRDefault="001464AF">
      <w:pPr>
        <w:pStyle w:val="10"/>
        <w:tabs>
          <w:tab w:val="clear" w:pos="8296"/>
          <w:tab w:val="right" w:leader="middleDot" w:pos="9060"/>
        </w:tabs>
        <w:spacing w:line="360" w:lineRule="auto"/>
        <w:jc w:val="both"/>
        <w:rPr>
          <w:sz w:val="32"/>
          <w:szCs w:val="32"/>
        </w:rPr>
      </w:pPr>
      <w:hyperlink w:anchor="_Toc21444717" w:history="1">
        <w:r w:rsidR="00EA32AE">
          <w:rPr>
            <w:sz w:val="32"/>
            <w:szCs w:val="32"/>
          </w:rPr>
          <w:t>第6章 合同变更和解除</w:t>
        </w:r>
        <w:r w:rsidR="00EA32AE">
          <w:rPr>
            <w:sz w:val="32"/>
            <w:szCs w:val="32"/>
          </w:rPr>
          <w:tab/>
        </w:r>
        <w:r w:rsidR="00EA32AE">
          <w:rPr>
            <w:sz w:val="32"/>
            <w:szCs w:val="32"/>
          </w:rPr>
          <w:fldChar w:fldCharType="begin"/>
        </w:r>
        <w:r w:rsidR="00EA32AE">
          <w:rPr>
            <w:sz w:val="32"/>
            <w:szCs w:val="32"/>
          </w:rPr>
          <w:instrText xml:space="preserve"> PAGEREF _Toc21444717 \h </w:instrText>
        </w:r>
        <w:r w:rsidR="00EA32AE">
          <w:rPr>
            <w:sz w:val="32"/>
            <w:szCs w:val="32"/>
          </w:rPr>
        </w:r>
        <w:r w:rsidR="00EA32AE">
          <w:rPr>
            <w:sz w:val="32"/>
            <w:szCs w:val="32"/>
          </w:rPr>
          <w:fldChar w:fldCharType="separate"/>
        </w:r>
        <w:r w:rsidR="00D95591">
          <w:rPr>
            <w:noProof/>
            <w:sz w:val="32"/>
            <w:szCs w:val="32"/>
          </w:rPr>
          <w:t>11</w:t>
        </w:r>
        <w:r w:rsidR="00EA32AE">
          <w:rPr>
            <w:sz w:val="32"/>
            <w:szCs w:val="32"/>
          </w:rPr>
          <w:fldChar w:fldCharType="end"/>
        </w:r>
      </w:hyperlink>
    </w:p>
    <w:p w:rsidR="00104E16" w:rsidRDefault="001464AF">
      <w:pPr>
        <w:pStyle w:val="10"/>
        <w:tabs>
          <w:tab w:val="clear" w:pos="8296"/>
          <w:tab w:val="right" w:leader="middleDot" w:pos="9060"/>
        </w:tabs>
        <w:spacing w:line="360" w:lineRule="auto"/>
        <w:jc w:val="both"/>
        <w:rPr>
          <w:sz w:val="32"/>
          <w:szCs w:val="32"/>
        </w:rPr>
      </w:pPr>
      <w:hyperlink w:anchor="_Toc21444718" w:history="1">
        <w:r w:rsidR="00EA32AE">
          <w:rPr>
            <w:sz w:val="32"/>
            <w:szCs w:val="32"/>
          </w:rPr>
          <w:t>第7章 违约责任</w:t>
        </w:r>
        <w:r w:rsidR="00EA32AE">
          <w:rPr>
            <w:sz w:val="32"/>
            <w:szCs w:val="32"/>
          </w:rPr>
          <w:tab/>
        </w:r>
        <w:r w:rsidR="00EA32AE">
          <w:rPr>
            <w:sz w:val="32"/>
            <w:szCs w:val="32"/>
          </w:rPr>
          <w:fldChar w:fldCharType="begin"/>
        </w:r>
        <w:r w:rsidR="00EA32AE">
          <w:rPr>
            <w:sz w:val="32"/>
            <w:szCs w:val="32"/>
          </w:rPr>
          <w:instrText xml:space="preserve"> PAGEREF _Toc21444718 \h </w:instrText>
        </w:r>
        <w:r w:rsidR="00EA32AE">
          <w:rPr>
            <w:sz w:val="32"/>
            <w:szCs w:val="32"/>
          </w:rPr>
        </w:r>
        <w:r w:rsidR="00EA32AE">
          <w:rPr>
            <w:sz w:val="32"/>
            <w:szCs w:val="32"/>
          </w:rPr>
          <w:fldChar w:fldCharType="separate"/>
        </w:r>
        <w:r w:rsidR="00D95591">
          <w:rPr>
            <w:noProof/>
            <w:sz w:val="32"/>
            <w:szCs w:val="32"/>
          </w:rPr>
          <w:t>12</w:t>
        </w:r>
        <w:r w:rsidR="00EA32AE">
          <w:rPr>
            <w:sz w:val="32"/>
            <w:szCs w:val="32"/>
          </w:rPr>
          <w:fldChar w:fldCharType="end"/>
        </w:r>
      </w:hyperlink>
    </w:p>
    <w:p w:rsidR="00104E16" w:rsidRDefault="001464AF">
      <w:pPr>
        <w:pStyle w:val="10"/>
        <w:tabs>
          <w:tab w:val="clear" w:pos="8296"/>
          <w:tab w:val="right" w:leader="middleDot" w:pos="9060"/>
        </w:tabs>
        <w:spacing w:line="360" w:lineRule="auto"/>
        <w:jc w:val="both"/>
        <w:rPr>
          <w:sz w:val="32"/>
          <w:szCs w:val="32"/>
        </w:rPr>
      </w:pPr>
      <w:hyperlink w:anchor="_Toc21444719" w:history="1">
        <w:r w:rsidR="00EA32AE">
          <w:rPr>
            <w:sz w:val="32"/>
            <w:szCs w:val="32"/>
          </w:rPr>
          <w:t>第8章 附则</w:t>
        </w:r>
        <w:r w:rsidR="00EA32AE">
          <w:rPr>
            <w:sz w:val="32"/>
            <w:szCs w:val="32"/>
          </w:rPr>
          <w:tab/>
        </w:r>
        <w:r w:rsidR="00EA32AE">
          <w:rPr>
            <w:sz w:val="32"/>
            <w:szCs w:val="32"/>
          </w:rPr>
          <w:fldChar w:fldCharType="begin"/>
        </w:r>
        <w:r w:rsidR="00EA32AE">
          <w:rPr>
            <w:sz w:val="32"/>
            <w:szCs w:val="32"/>
          </w:rPr>
          <w:instrText xml:space="preserve"> PAGEREF _Toc21444719 \h </w:instrText>
        </w:r>
        <w:r w:rsidR="00EA32AE">
          <w:rPr>
            <w:sz w:val="32"/>
            <w:szCs w:val="32"/>
          </w:rPr>
        </w:r>
        <w:r w:rsidR="00EA32AE">
          <w:rPr>
            <w:sz w:val="32"/>
            <w:szCs w:val="32"/>
          </w:rPr>
          <w:fldChar w:fldCharType="separate"/>
        </w:r>
        <w:r w:rsidR="00D95591">
          <w:rPr>
            <w:noProof/>
            <w:sz w:val="32"/>
            <w:szCs w:val="32"/>
          </w:rPr>
          <w:t>13</w:t>
        </w:r>
        <w:r w:rsidR="00EA32AE">
          <w:rPr>
            <w:sz w:val="32"/>
            <w:szCs w:val="32"/>
          </w:rPr>
          <w:fldChar w:fldCharType="end"/>
        </w:r>
      </w:hyperlink>
    </w:p>
    <w:p w:rsidR="00104E16" w:rsidRDefault="00EA32AE">
      <w:pPr>
        <w:pStyle w:val="10"/>
        <w:tabs>
          <w:tab w:val="clear" w:pos="8296"/>
          <w:tab w:val="right" w:leader="middleDot" w:pos="9060"/>
        </w:tabs>
        <w:spacing w:line="360" w:lineRule="auto"/>
        <w:jc w:val="both"/>
        <w:rPr>
          <w:sz w:val="32"/>
          <w:szCs w:val="32"/>
        </w:rPr>
      </w:pPr>
      <w:r>
        <w:rPr>
          <w:sz w:val="32"/>
          <w:szCs w:val="32"/>
        </w:rPr>
        <w:t>附件</w:t>
      </w:r>
      <w:r w:rsidR="006D5DA2">
        <w:rPr>
          <w:rFonts w:hint="eastAsia"/>
          <w:sz w:val="32"/>
          <w:szCs w:val="32"/>
        </w:rPr>
        <w:t>一</w:t>
      </w:r>
      <w:r w:rsidR="00790C6C">
        <w:rPr>
          <w:rFonts w:hint="eastAsia"/>
          <w:sz w:val="32"/>
          <w:szCs w:val="32"/>
        </w:rPr>
        <w:t>：</w:t>
      </w:r>
      <w:r>
        <w:rPr>
          <w:sz w:val="32"/>
          <w:szCs w:val="32"/>
        </w:rPr>
        <w:t xml:space="preserve">合同事项变更确认书 </w:t>
      </w:r>
    </w:p>
    <w:p w:rsidR="00104E16" w:rsidRDefault="00EA32AE">
      <w:pPr>
        <w:pStyle w:val="10"/>
        <w:tabs>
          <w:tab w:val="clear" w:pos="8296"/>
          <w:tab w:val="right" w:leader="middleDot" w:pos="9060"/>
        </w:tabs>
        <w:jc w:val="both"/>
      </w:pPr>
      <w:r>
        <w:rPr>
          <w:sz w:val="32"/>
          <w:szCs w:val="32"/>
        </w:rPr>
        <w:fldChar w:fldCharType="end"/>
      </w:r>
      <w:r w:rsidR="00790C6C" w:rsidRPr="00790C6C">
        <w:rPr>
          <w:rFonts w:hint="eastAsia"/>
          <w:sz w:val="32"/>
          <w:szCs w:val="32"/>
        </w:rPr>
        <w:t>附件二</w:t>
      </w:r>
      <w:r w:rsidR="00790C6C">
        <w:rPr>
          <w:rFonts w:hint="eastAsia"/>
          <w:sz w:val="32"/>
          <w:szCs w:val="32"/>
        </w:rPr>
        <w:t>：</w:t>
      </w:r>
      <w:r w:rsidR="00790C6C" w:rsidRPr="00790C6C">
        <w:rPr>
          <w:rFonts w:hint="eastAsia"/>
          <w:sz w:val="32"/>
          <w:szCs w:val="32"/>
        </w:rPr>
        <w:t>零售用户相关信息</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sectPr w:rsidR="00104E16">
          <w:footerReference w:type="default" r:id="rId10"/>
          <w:footerReference w:type="first" r:id="rId11"/>
          <w:pgSz w:w="11906" w:h="16838"/>
          <w:pgMar w:top="1440" w:right="1800" w:bottom="1440" w:left="1800" w:header="851" w:footer="992" w:gutter="0"/>
          <w:pgNumType w:start="1"/>
          <w:cols w:space="720"/>
          <w:titlePg/>
          <w:docGrid w:type="lines" w:linePitch="312"/>
        </w:sectPr>
      </w:pPr>
      <w:r>
        <w:rPr>
          <w:rFonts w:ascii="黑体" w:eastAsia="黑体" w:hAnsi="Calibri"/>
          <w:kern w:val="0"/>
          <w:sz w:val="32"/>
        </w:rPr>
        <w:t xml:space="preserve">   </w:t>
      </w:r>
      <w:bookmarkStart w:id="3" w:name="_Toc30714"/>
      <w:bookmarkStart w:id="4" w:name="_Toc454957425"/>
    </w:p>
    <w:p w:rsidR="00104E16" w:rsidRDefault="00EA32AE">
      <w:pPr>
        <w:jc w:val="center"/>
        <w:rPr>
          <w:rFonts w:ascii="黑体" w:eastAsia="黑体" w:hAnsi="黑体"/>
          <w:kern w:val="0"/>
          <w:sz w:val="44"/>
          <w:szCs w:val="44"/>
        </w:rPr>
      </w:pPr>
      <w:r>
        <w:rPr>
          <w:rFonts w:ascii="黑体" w:eastAsia="黑体" w:hAnsi="黑体" w:hint="eastAsia"/>
          <w:kern w:val="0"/>
          <w:sz w:val="44"/>
          <w:szCs w:val="44"/>
        </w:rPr>
        <w:lastRenderedPageBreak/>
        <w:t>浙江省售电公司、电力市场化零售用户及电网企业</w:t>
      </w:r>
      <w:proofErr w:type="gramStart"/>
      <w:r>
        <w:rPr>
          <w:rFonts w:ascii="黑体" w:eastAsia="黑体" w:hAnsi="黑体" w:hint="eastAsia"/>
          <w:kern w:val="0"/>
          <w:sz w:val="44"/>
          <w:szCs w:val="44"/>
        </w:rPr>
        <w:t>三方购售电</w:t>
      </w:r>
      <w:proofErr w:type="gramEnd"/>
      <w:r>
        <w:rPr>
          <w:rFonts w:ascii="黑体" w:eastAsia="黑体" w:hAnsi="黑体" w:hint="eastAsia"/>
          <w:kern w:val="0"/>
          <w:sz w:val="44"/>
          <w:szCs w:val="44"/>
        </w:rPr>
        <w:t>合同</w:t>
      </w:r>
    </w:p>
    <w:p w:rsidR="00104E16" w:rsidRDefault="00104E16">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p>
    <w:p w:rsidR="00104E16" w:rsidRDefault="00EA32AE">
      <w:pPr>
        <w:ind w:firstLine="636"/>
        <w:rPr>
          <w:rFonts w:ascii="仿宋" w:eastAsia="仿宋" w:hAnsi="仿宋"/>
          <w:sz w:val="32"/>
          <w:szCs w:val="32"/>
        </w:rPr>
      </w:pPr>
      <w:r>
        <w:rPr>
          <w:rFonts w:ascii="仿宋" w:eastAsia="仿宋" w:hAnsi="仿宋" w:hint="eastAsia"/>
          <w:sz w:val="32"/>
          <w:szCs w:val="32"/>
        </w:rPr>
        <w:t>浙江省售电公司、电力市场化零售用户及电网企业</w:t>
      </w:r>
      <w:proofErr w:type="gramStart"/>
      <w:r>
        <w:rPr>
          <w:rFonts w:ascii="仿宋" w:eastAsia="仿宋" w:hAnsi="仿宋" w:hint="eastAsia"/>
          <w:sz w:val="32"/>
          <w:szCs w:val="32"/>
        </w:rPr>
        <w:t>三方购售电</w:t>
      </w:r>
      <w:proofErr w:type="gramEnd"/>
      <w:r>
        <w:rPr>
          <w:rFonts w:ascii="仿宋" w:eastAsia="仿宋" w:hAnsi="仿宋" w:hint="eastAsia"/>
          <w:sz w:val="32"/>
          <w:szCs w:val="32"/>
        </w:rPr>
        <w:t>合同（以下简称本合同）由下列三方签署：</w:t>
      </w:r>
    </w:p>
    <w:p w:rsidR="00104E16" w:rsidRDefault="00EA32AE">
      <w:pPr>
        <w:spacing w:line="560" w:lineRule="exact"/>
        <w:ind w:firstLineChars="200" w:firstLine="640"/>
        <w:rPr>
          <w:rFonts w:ascii="仿宋_GB2312" w:eastAsia="仿宋_GB2312"/>
          <w:sz w:val="32"/>
        </w:rPr>
      </w:pPr>
      <w:r>
        <w:rPr>
          <w:rFonts w:ascii="仿宋" w:eastAsia="仿宋" w:hAnsi="仿宋" w:hint="eastAsia"/>
          <w:sz w:val="32"/>
          <w:szCs w:val="32"/>
        </w:rPr>
        <w:t>1.</w:t>
      </w:r>
      <w:r>
        <w:rPr>
          <w:rFonts w:ascii="仿宋_GB2312" w:eastAsia="仿宋_GB2312" w:hint="eastAsia"/>
          <w:sz w:val="32"/>
        </w:rPr>
        <w:t xml:space="preserve"> 售电方（售电公司，以下简称甲方）：</w:t>
      </w:r>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法人资格的</w:t>
      </w:r>
      <w:r>
        <w:rPr>
          <w:rFonts w:ascii="仿宋_GB2312" w:eastAsia="仿宋_GB2312" w:hint="eastAsia"/>
          <w:sz w:val="32"/>
        </w:rPr>
        <w:t>售电企业，企业所在地为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拥有并经营管理一家售电公司，接受准入浙江售电市场的电力用户委托开展购电。</w:t>
      </w:r>
    </w:p>
    <w:p w:rsidR="00104E16" w:rsidRDefault="00EA32AE">
      <w:pPr>
        <w:spacing w:line="560" w:lineRule="exact"/>
        <w:ind w:firstLineChars="200" w:firstLine="640"/>
        <w:rPr>
          <w:rFonts w:ascii="仿宋_GB2312" w:eastAsia="仿宋_GB2312"/>
          <w:sz w:val="32"/>
        </w:rPr>
      </w:pPr>
      <w:r>
        <w:rPr>
          <w:rFonts w:ascii="仿宋_GB2312" w:eastAsia="仿宋_GB2312" w:hint="eastAsia"/>
          <w:sz w:val="32"/>
        </w:rPr>
        <w:t>甲方提供联络通讯信息如下：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104E16">
        <w:trPr>
          <w:trHeight w:val="728"/>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104E16">
        <w:trPr>
          <w:trHeight w:val="699"/>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电  话：</w:t>
            </w:r>
          </w:p>
        </w:tc>
        <w:tc>
          <w:tcPr>
            <w:tcW w:w="2699"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104E16">
        <w:trPr>
          <w:trHeight w:val="699"/>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传  真：</w:t>
            </w:r>
          </w:p>
        </w:tc>
        <w:tc>
          <w:tcPr>
            <w:tcW w:w="2699"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r w:rsidR="00104E16">
        <w:trPr>
          <w:trHeight w:val="699"/>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p>
        </w:tc>
      </w:tr>
    </w:tbl>
    <w:p w:rsidR="00104E16" w:rsidRPr="00713C6B" w:rsidRDefault="00EA32AE">
      <w:pPr>
        <w:spacing w:line="560" w:lineRule="exact"/>
        <w:ind w:firstLineChars="200" w:firstLine="640"/>
        <w:rPr>
          <w:rFonts w:ascii="仿宋_GB2312" w:eastAsia="仿宋_GB2312"/>
          <w:sz w:val="32"/>
        </w:rPr>
      </w:pPr>
      <w:r>
        <w:rPr>
          <w:rFonts w:ascii="仿宋_GB2312" w:eastAsia="仿宋_GB2312" w:hint="eastAsia"/>
          <w:sz w:val="32"/>
        </w:rPr>
        <w:t>2.</w:t>
      </w:r>
      <w:r>
        <w:rPr>
          <w:rFonts w:ascii="仿宋" w:eastAsia="仿宋" w:hAnsi="仿宋" w:hint="eastAsia"/>
          <w:sz w:val="32"/>
          <w:szCs w:val="32"/>
        </w:rPr>
        <w:t xml:space="preserve"> 用电方（零售用户，以下简称乙方）：</w:t>
      </w:r>
      <w:r>
        <w:rPr>
          <w:rFonts w:ascii="仿宋_GB2312" w:eastAsia="仿宋_GB2312" w:hint="eastAsia"/>
          <w:sz w:val="32"/>
          <w:u w:val="single"/>
        </w:rPr>
        <w:t xml:space="preserve"> </w:t>
      </w:r>
      <w:bookmarkStart w:id="5" w:name="PO_gdf1"/>
      <w:bookmarkEnd w:id="5"/>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w:t>
      </w:r>
      <w:r>
        <w:rPr>
          <w:rFonts w:ascii="仿宋_GB2312" w:eastAsia="仿宋_GB2312" w:hint="eastAsia"/>
          <w:sz w:val="32"/>
          <w:u w:val="single"/>
        </w:rPr>
        <w:t xml:space="preserve"> </w:t>
      </w:r>
      <w:bookmarkStart w:id="6" w:name="PO_sccylx"/>
      <w:bookmarkEnd w:id="6"/>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bookmarkStart w:id="7" w:name="PO_gdfsccydq"/>
      <w:bookmarkEnd w:id="7"/>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bookmarkStart w:id="8" w:name="PO_gdfswdjh"/>
      <w:bookmarkEnd w:id="8"/>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9" w:name="PO_gdfdz"/>
      <w:bookmarkEnd w:id="9"/>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10" w:name="PO_gdffr"/>
      <w:bookmarkEnd w:id="10"/>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rPr>
        <w:lastRenderedPageBreak/>
        <w:t>乙方在</w:t>
      </w:r>
      <w:r>
        <w:rPr>
          <w:rFonts w:ascii="仿宋_GB2312" w:eastAsia="仿宋_GB2312" w:hint="eastAsia"/>
          <w:sz w:val="32"/>
          <w:u w:val="single"/>
        </w:rPr>
        <w:t xml:space="preserve">          </w:t>
      </w:r>
      <w:r>
        <w:rPr>
          <w:rFonts w:ascii="仿宋_GB2312" w:eastAsia="仿宋_GB2312" w:hint="eastAsia"/>
          <w:sz w:val="32"/>
        </w:rPr>
        <w:t>拥有并经营一家用电电压等级为</w:t>
      </w:r>
      <w:r>
        <w:rPr>
          <w:rFonts w:ascii="仿宋_GB2312" w:eastAsia="仿宋_GB2312" w:hint="eastAsia"/>
          <w:sz w:val="32"/>
          <w:u w:val="single"/>
        </w:rPr>
        <w:t xml:space="preserve">       </w:t>
      </w:r>
      <w:r>
        <w:rPr>
          <w:rFonts w:ascii="仿宋_GB2312" w:eastAsia="仿宋_GB2312" w:hint="eastAsia"/>
          <w:sz w:val="32"/>
        </w:rPr>
        <w:t>千伏(kV),总用电容量为</w:t>
      </w:r>
      <w:r>
        <w:rPr>
          <w:rFonts w:ascii="仿宋_GB2312" w:eastAsia="仿宋_GB2312" w:hint="eastAsia"/>
          <w:sz w:val="32"/>
          <w:u w:val="single"/>
        </w:rPr>
        <w:t xml:space="preserve">      </w:t>
      </w:r>
      <w:r>
        <w:rPr>
          <w:rFonts w:ascii="仿宋_GB2312" w:eastAsia="仿宋_GB2312" w:hint="eastAsia"/>
          <w:sz w:val="32"/>
        </w:rPr>
        <w:t>千瓦（kW）或变压器容量为</w:t>
      </w:r>
      <w:r>
        <w:rPr>
          <w:rFonts w:ascii="仿宋_GB2312" w:eastAsia="仿宋_GB2312" w:hint="eastAsia"/>
          <w:sz w:val="32"/>
          <w:u w:val="single"/>
        </w:rPr>
        <w:t xml:space="preserve">    </w:t>
      </w:r>
      <w:proofErr w:type="gramStart"/>
      <w:r>
        <w:rPr>
          <w:rFonts w:ascii="仿宋_GB2312" w:eastAsia="仿宋_GB2312" w:hint="eastAsia"/>
          <w:sz w:val="32"/>
        </w:rPr>
        <w:t>千伏安</w:t>
      </w:r>
      <w:proofErr w:type="gramEnd"/>
      <w:r>
        <w:rPr>
          <w:rFonts w:ascii="仿宋_GB2312" w:eastAsia="仿宋_GB2312" w:hint="eastAsia"/>
          <w:sz w:val="32"/>
        </w:rPr>
        <w:t>（kVA）的用电企业。乙方用电户号：</w:t>
      </w:r>
      <w:r>
        <w:rPr>
          <w:rFonts w:ascii="仿宋_GB2312" w:eastAsia="仿宋_GB2312" w:hint="eastAsia"/>
          <w:sz w:val="32"/>
          <w:u w:val="single"/>
        </w:rPr>
        <w:t xml:space="preserve">              </w:t>
      </w:r>
      <w:r w:rsidR="00CC49D4">
        <w:rPr>
          <w:rFonts w:ascii="仿宋_GB2312" w:eastAsia="仿宋_GB2312" w:hint="eastAsia"/>
          <w:color w:val="FF0000"/>
          <w:sz w:val="32"/>
        </w:rPr>
        <w:t>，</w:t>
      </w:r>
      <w:r>
        <w:rPr>
          <w:rFonts w:ascii="仿宋_GB2312" w:eastAsia="仿宋_GB2312" w:hint="eastAsia"/>
          <w:sz w:val="32"/>
        </w:rPr>
        <w:t>在参与售电市场交易前甲方执行（</w:t>
      </w:r>
      <w:r>
        <w:rPr>
          <w:rFonts w:ascii="仿宋_GB2312" w:eastAsia="仿宋_GB2312" w:hint="eastAsia"/>
          <w:sz w:val="32"/>
        </w:rPr>
        <w:sym w:font="Wingdings" w:char="00A8"/>
      </w:r>
      <w:r>
        <w:rPr>
          <w:rFonts w:ascii="仿宋_GB2312" w:eastAsia="仿宋_GB2312" w:hint="eastAsia"/>
          <w:sz w:val="32"/>
        </w:rPr>
        <w:t>一口价/</w:t>
      </w:r>
      <w:r>
        <w:rPr>
          <w:rFonts w:ascii="仿宋_GB2312" w:eastAsia="仿宋_GB2312" w:hint="eastAsia"/>
          <w:sz w:val="32"/>
        </w:rPr>
        <w:sym w:font="Wingdings" w:char="00A8"/>
      </w:r>
      <w:r>
        <w:rPr>
          <w:rFonts w:ascii="仿宋_GB2312" w:eastAsia="仿宋_GB2312" w:hint="eastAsia"/>
          <w:sz w:val="32"/>
        </w:rPr>
        <w:t>峰谷分时电价）。计量表计编号：</w:t>
      </w:r>
      <w:r>
        <w:rPr>
          <w:rFonts w:ascii="仿宋_GB2312" w:eastAsia="仿宋_GB2312" w:hint="eastAsia"/>
          <w:sz w:val="32"/>
          <w:u w:val="single"/>
        </w:rPr>
        <w:t xml:space="preserve">           </w:t>
      </w:r>
      <w:r>
        <w:rPr>
          <w:rFonts w:ascii="仿宋_GB2312" w:eastAsia="仿宋_GB2312" w:hint="eastAsia"/>
          <w:sz w:val="32"/>
        </w:rPr>
        <w:t xml:space="preserve"> ，关联供用电合同编号：</w:t>
      </w:r>
      <w:r>
        <w:rPr>
          <w:rFonts w:ascii="仿宋_GB2312" w:eastAsia="仿宋_GB2312" w:hint="eastAsia"/>
          <w:sz w:val="32"/>
          <w:u w:val="single"/>
        </w:rPr>
        <w:t xml:space="preserve">             </w:t>
      </w:r>
      <w:r>
        <w:rPr>
          <w:rFonts w:ascii="仿宋_GB2312" w:eastAsia="仿宋_GB2312" w:hint="eastAsia"/>
          <w:sz w:val="32"/>
        </w:rPr>
        <w:t xml:space="preserve"> </w:t>
      </w:r>
      <w:r w:rsidR="00CC49D4" w:rsidRPr="00713C6B">
        <w:rPr>
          <w:rFonts w:ascii="仿宋_GB2312" w:eastAsia="仿宋_GB2312" w:hint="eastAsia"/>
          <w:sz w:val="32"/>
        </w:rPr>
        <w:t>。（多个用电户</w:t>
      </w:r>
      <w:proofErr w:type="gramStart"/>
      <w:r w:rsidR="00CC49D4" w:rsidRPr="00713C6B">
        <w:rPr>
          <w:rFonts w:ascii="仿宋_GB2312" w:eastAsia="仿宋_GB2312" w:hint="eastAsia"/>
          <w:sz w:val="32"/>
        </w:rPr>
        <w:t>号相关</w:t>
      </w:r>
      <w:proofErr w:type="gramEnd"/>
      <w:r w:rsidR="00CC49D4" w:rsidRPr="00713C6B">
        <w:rPr>
          <w:rFonts w:ascii="仿宋_GB2312" w:eastAsia="仿宋_GB2312" w:hint="eastAsia"/>
          <w:sz w:val="32"/>
        </w:rPr>
        <w:t>信息请在</w:t>
      </w:r>
      <w:r w:rsidR="00713C6B" w:rsidRPr="00713C6B">
        <w:rPr>
          <w:rFonts w:ascii="仿宋_GB2312" w:eastAsia="仿宋_GB2312" w:hint="eastAsia"/>
          <w:sz w:val="32"/>
        </w:rPr>
        <w:t>附件</w:t>
      </w:r>
      <w:r w:rsidR="00CC49D4" w:rsidRPr="00713C6B">
        <w:rPr>
          <w:rFonts w:ascii="仿宋_GB2312" w:eastAsia="仿宋_GB2312" w:hint="eastAsia"/>
          <w:sz w:val="32"/>
        </w:rPr>
        <w:t>二中填写）</w:t>
      </w:r>
    </w:p>
    <w:p w:rsidR="00104E16" w:rsidRPr="00713C6B" w:rsidRDefault="00EA32AE">
      <w:pPr>
        <w:spacing w:line="560" w:lineRule="exact"/>
        <w:ind w:firstLineChars="200" w:firstLine="640"/>
        <w:rPr>
          <w:rFonts w:ascii="仿宋_GB2312" w:eastAsia="仿宋_GB2312"/>
          <w:sz w:val="32"/>
        </w:rPr>
      </w:pPr>
      <w:r w:rsidRPr="00713C6B">
        <w:rPr>
          <w:rFonts w:ascii="仿宋_GB2312" w:eastAsia="仿宋_GB2312" w:hint="eastAsia"/>
          <w:sz w:val="32"/>
        </w:rPr>
        <w:t>乙方提供联络通讯信息如下：</w:t>
      </w:r>
    </w:p>
    <w:tbl>
      <w:tblPr>
        <w:tblW w:w="9022" w:type="dxa"/>
        <w:tblLayout w:type="fixed"/>
        <w:tblCellMar>
          <w:left w:w="85" w:type="dxa"/>
          <w:right w:w="0" w:type="dxa"/>
        </w:tblCellMar>
        <w:tblLook w:val="04A0" w:firstRow="1" w:lastRow="0" w:firstColumn="1" w:lastColumn="0" w:noHBand="0" w:noVBand="1"/>
      </w:tblPr>
      <w:tblGrid>
        <w:gridCol w:w="1569"/>
        <w:gridCol w:w="2699"/>
        <w:gridCol w:w="1563"/>
        <w:gridCol w:w="3191"/>
      </w:tblGrid>
      <w:tr w:rsidR="00104E16">
        <w:trPr>
          <w:trHeight w:val="728"/>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1" w:name="PO_gdflxr"/>
            <w:bookmarkEnd w:id="11"/>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2" w:name="PO_gdfdzyj"/>
            <w:bookmarkEnd w:id="12"/>
            <w:r>
              <w:rPr>
                <w:rFonts w:ascii="仿宋_GB2312" w:eastAsia="仿宋_GB2312" w:hint="eastAsia"/>
                <w:sz w:val="32"/>
                <w:u w:val="single"/>
              </w:rPr>
              <w:t xml:space="preserve">            </w:t>
            </w:r>
          </w:p>
        </w:tc>
      </w:tr>
      <w:tr w:rsidR="00104E16">
        <w:trPr>
          <w:trHeight w:val="699"/>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电  话：</w:t>
            </w:r>
          </w:p>
        </w:tc>
        <w:tc>
          <w:tcPr>
            <w:tcW w:w="2699"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3" w:name="PO_gdfdh"/>
            <w:bookmarkEnd w:id="13"/>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4" w:name="PO_sjhm"/>
            <w:bookmarkEnd w:id="14"/>
            <w:r>
              <w:rPr>
                <w:rFonts w:ascii="仿宋_GB2312" w:eastAsia="仿宋_GB2312" w:hint="eastAsia"/>
                <w:sz w:val="32"/>
                <w:u w:val="single"/>
              </w:rPr>
              <w:t xml:space="preserve">            </w:t>
            </w:r>
          </w:p>
        </w:tc>
      </w:tr>
      <w:tr w:rsidR="00104E16">
        <w:trPr>
          <w:trHeight w:val="699"/>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传  真：</w:t>
            </w:r>
          </w:p>
        </w:tc>
        <w:tc>
          <w:tcPr>
            <w:tcW w:w="2699"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5" w:name="PO_gdfcz"/>
            <w:bookmarkEnd w:id="15"/>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6" w:name="PO_gdfyb"/>
            <w:bookmarkEnd w:id="16"/>
            <w:r>
              <w:rPr>
                <w:rFonts w:ascii="仿宋_GB2312" w:eastAsia="仿宋_GB2312" w:hint="eastAsia"/>
                <w:sz w:val="32"/>
                <w:u w:val="single"/>
              </w:rPr>
              <w:t xml:space="preserve">            </w:t>
            </w:r>
          </w:p>
        </w:tc>
      </w:tr>
      <w:tr w:rsidR="00104E16">
        <w:trPr>
          <w:trHeight w:val="699"/>
        </w:trPr>
        <w:tc>
          <w:tcPr>
            <w:tcW w:w="1569" w:type="dxa"/>
            <w:tcBorders>
              <w:top w:val="nil"/>
              <w:left w:val="nil"/>
              <w:bottom w:val="nil"/>
              <w:right w:val="nil"/>
            </w:tcBorders>
            <w:vAlign w:val="bottom"/>
          </w:tcPr>
          <w:p w:rsidR="00104E16" w:rsidRDefault="00EA32AE">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104E16" w:rsidRDefault="00EA32AE">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7" w:name="PO_gdfdz2"/>
            <w:bookmarkEnd w:id="17"/>
            <w:r>
              <w:rPr>
                <w:rFonts w:ascii="仿宋_GB2312" w:eastAsia="仿宋_GB2312" w:hint="eastAsia"/>
                <w:sz w:val="32"/>
                <w:u w:val="single"/>
              </w:rPr>
              <w:t xml:space="preserve">                             </w:t>
            </w:r>
          </w:p>
        </w:tc>
      </w:tr>
    </w:tbl>
    <w:p w:rsidR="00104E16" w:rsidRDefault="00EA32AE">
      <w:pPr>
        <w:spacing w:line="560" w:lineRule="exact"/>
        <w:ind w:firstLine="641"/>
        <w:rPr>
          <w:rFonts w:ascii="仿宋_GB2312" w:eastAsia="仿宋_GB2312"/>
          <w:sz w:val="32"/>
        </w:rPr>
      </w:pPr>
      <w:r>
        <w:rPr>
          <w:rFonts w:ascii="仿宋" w:eastAsia="仿宋" w:hAnsi="仿宋" w:hint="eastAsia"/>
          <w:sz w:val="32"/>
          <w:szCs w:val="32"/>
        </w:rPr>
        <w:t>3.输（配）电方（电网企业，以下简称丙方）：</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的电网企业，企业所在地为</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市场监督管理局登记注册，已取得能源监管机构颁发的本合同所指电网经营企业电力业务许可证（输电类、供电类）（许可证编号：</w:t>
      </w:r>
      <w:r>
        <w:rPr>
          <w:rFonts w:ascii="仿宋_GB2312" w:eastAsia="仿宋_GB2312" w:hint="eastAsia"/>
          <w:sz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u w:val="single"/>
        </w:rPr>
        <w:t xml:space="preserve">             </w:t>
      </w:r>
      <w:r>
        <w:rPr>
          <w:rFonts w:ascii="仿宋_GB2312" w:eastAsia="仿宋_GB2312" w:hint="eastAsia"/>
          <w:sz w:val="32"/>
        </w:rPr>
        <w:t>），统一社会信用代码或税务登记号：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w:t>
      </w:r>
    </w:p>
    <w:p w:rsidR="00104E16" w:rsidRDefault="00EA32AE">
      <w:pPr>
        <w:spacing w:line="560" w:lineRule="exact"/>
        <w:ind w:firstLine="641"/>
        <w:rPr>
          <w:rFonts w:ascii="仿宋_GB2312" w:eastAsia="仿宋_GB2312"/>
          <w:sz w:val="32"/>
        </w:rPr>
      </w:pPr>
      <w:r>
        <w:rPr>
          <w:rFonts w:ascii="仿宋_GB2312" w:eastAsia="仿宋_GB2312" w:hint="eastAsia"/>
          <w:sz w:val="32"/>
        </w:rPr>
        <w:t>丙方在</w:t>
      </w:r>
      <w:r>
        <w:rPr>
          <w:rFonts w:ascii="仿宋_GB2312" w:eastAsia="仿宋_GB2312" w:hint="eastAsia"/>
          <w:sz w:val="32"/>
          <w:u w:val="single"/>
        </w:rPr>
        <w:t xml:space="preserve">     </w:t>
      </w:r>
      <w:r>
        <w:rPr>
          <w:rFonts w:ascii="仿宋_GB2312" w:eastAsia="仿宋_GB2312" w:hint="eastAsia"/>
          <w:sz w:val="32"/>
        </w:rPr>
        <w:t>拥有并经营管理</w:t>
      </w:r>
      <w:r>
        <w:rPr>
          <w:rFonts w:ascii="仿宋_GB2312" w:eastAsia="仿宋_GB2312" w:hint="eastAsia"/>
          <w:sz w:val="32"/>
          <w:u w:val="single"/>
        </w:rPr>
        <w:t xml:space="preserve">     </w:t>
      </w:r>
      <w:r>
        <w:rPr>
          <w:rFonts w:ascii="仿宋_GB2312" w:eastAsia="仿宋_GB2312" w:hint="eastAsia"/>
          <w:sz w:val="32"/>
        </w:rPr>
        <w:t>地区的电网。</w:t>
      </w:r>
    </w:p>
    <w:p w:rsidR="00104E16" w:rsidRDefault="00EA32AE">
      <w:pPr>
        <w:spacing w:line="560" w:lineRule="exact"/>
        <w:ind w:firstLine="641"/>
        <w:rPr>
          <w:rFonts w:ascii="仿宋_GB2312" w:eastAsia="仿宋_GB2312"/>
          <w:sz w:val="32"/>
        </w:rPr>
      </w:pPr>
      <w:r>
        <w:rPr>
          <w:rFonts w:ascii="仿宋_GB2312" w:eastAsia="仿宋_GB2312" w:hint="eastAsia"/>
          <w:sz w:val="32"/>
        </w:rPr>
        <w:t>丙方提供联络通讯信息如下：</w:t>
      </w:r>
    </w:p>
    <w:tbl>
      <w:tblPr>
        <w:tblW w:w="9022" w:type="dxa"/>
        <w:tblLayout w:type="fixed"/>
        <w:tblCellMar>
          <w:left w:w="0" w:type="dxa"/>
          <w:right w:w="0" w:type="dxa"/>
        </w:tblCellMar>
        <w:tblLook w:val="04A0" w:firstRow="1" w:lastRow="0" w:firstColumn="1" w:lastColumn="0" w:noHBand="0" w:noVBand="1"/>
      </w:tblPr>
      <w:tblGrid>
        <w:gridCol w:w="1467"/>
        <w:gridCol w:w="2801"/>
        <w:gridCol w:w="1563"/>
        <w:gridCol w:w="3191"/>
      </w:tblGrid>
      <w:tr w:rsidR="00104E16">
        <w:trPr>
          <w:trHeight w:val="728"/>
        </w:trPr>
        <w:tc>
          <w:tcPr>
            <w:tcW w:w="1467"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t>联系人：</w:t>
            </w:r>
          </w:p>
        </w:tc>
        <w:tc>
          <w:tcPr>
            <w:tcW w:w="2801" w:type="dxa"/>
            <w:tcBorders>
              <w:top w:val="nil"/>
              <w:left w:val="nil"/>
              <w:bottom w:val="nil"/>
              <w:right w:val="nil"/>
            </w:tcBorders>
            <w:vAlign w:val="bottom"/>
          </w:tcPr>
          <w:p w:rsidR="00104E16" w:rsidRDefault="00EA32AE">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104E16" w:rsidRDefault="00EA32AE">
            <w:pPr>
              <w:spacing w:line="560" w:lineRule="exact"/>
              <w:rPr>
                <w:rFonts w:ascii="仿宋_GB2312" w:eastAsia="仿宋_GB2312"/>
                <w:sz w:val="32"/>
                <w:u w:val="single"/>
              </w:rPr>
            </w:pPr>
            <w:r>
              <w:rPr>
                <w:rFonts w:ascii="仿宋_GB2312" w:eastAsia="仿宋_GB2312" w:hint="eastAsia"/>
                <w:sz w:val="32"/>
                <w:u w:val="single"/>
              </w:rPr>
              <w:t xml:space="preserve">              </w:t>
            </w:r>
          </w:p>
        </w:tc>
      </w:tr>
      <w:tr w:rsidR="00104E16">
        <w:trPr>
          <w:trHeight w:val="699"/>
        </w:trPr>
        <w:tc>
          <w:tcPr>
            <w:tcW w:w="1467"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t>电  话：</w:t>
            </w:r>
          </w:p>
        </w:tc>
        <w:tc>
          <w:tcPr>
            <w:tcW w:w="2801" w:type="dxa"/>
            <w:tcBorders>
              <w:top w:val="nil"/>
              <w:left w:val="nil"/>
              <w:bottom w:val="nil"/>
              <w:right w:val="nil"/>
            </w:tcBorders>
            <w:vAlign w:val="bottom"/>
          </w:tcPr>
          <w:p w:rsidR="00104E16" w:rsidRDefault="00EA32AE">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t>手    机：</w:t>
            </w:r>
            <w:r>
              <w:rPr>
                <w:rFonts w:ascii="仿宋_GB2312" w:eastAsia="仿宋_GB2312" w:hint="eastAsia"/>
                <w:sz w:val="32"/>
                <w:u w:val="single"/>
              </w:rPr>
              <w:t xml:space="preserve">   </w:t>
            </w:r>
            <w:r>
              <w:rPr>
                <w:rFonts w:ascii="仿宋_GB2312" w:eastAsia="仿宋_GB2312" w:hint="eastAsia"/>
                <w:sz w:val="32"/>
              </w:rPr>
              <w:t xml:space="preserve">   </w:t>
            </w:r>
          </w:p>
        </w:tc>
        <w:tc>
          <w:tcPr>
            <w:tcW w:w="3191" w:type="dxa"/>
            <w:tcBorders>
              <w:top w:val="nil"/>
              <w:left w:val="nil"/>
              <w:bottom w:val="nil"/>
              <w:right w:val="nil"/>
            </w:tcBorders>
            <w:vAlign w:val="bottom"/>
          </w:tcPr>
          <w:p w:rsidR="00104E16" w:rsidRDefault="00EA32AE">
            <w:pPr>
              <w:spacing w:line="560" w:lineRule="exact"/>
              <w:rPr>
                <w:rFonts w:ascii="仿宋_GB2312" w:eastAsia="仿宋_GB2312"/>
                <w:sz w:val="32"/>
                <w:u w:val="single"/>
              </w:rPr>
            </w:pPr>
            <w:r>
              <w:rPr>
                <w:rFonts w:ascii="仿宋_GB2312" w:eastAsia="仿宋_GB2312" w:hint="eastAsia"/>
                <w:sz w:val="32"/>
                <w:u w:val="single"/>
              </w:rPr>
              <w:t xml:space="preserve">              </w:t>
            </w:r>
          </w:p>
        </w:tc>
      </w:tr>
      <w:tr w:rsidR="00104E16">
        <w:trPr>
          <w:trHeight w:val="699"/>
        </w:trPr>
        <w:tc>
          <w:tcPr>
            <w:tcW w:w="1467"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t>传  真：</w:t>
            </w:r>
          </w:p>
        </w:tc>
        <w:tc>
          <w:tcPr>
            <w:tcW w:w="2801" w:type="dxa"/>
            <w:tcBorders>
              <w:top w:val="nil"/>
              <w:left w:val="nil"/>
              <w:bottom w:val="nil"/>
              <w:right w:val="nil"/>
            </w:tcBorders>
            <w:vAlign w:val="bottom"/>
          </w:tcPr>
          <w:p w:rsidR="00104E16" w:rsidRDefault="00EA32AE">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104E16" w:rsidRDefault="00EA32AE">
            <w:pPr>
              <w:spacing w:line="560" w:lineRule="exact"/>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u w:val="single"/>
              </w:rPr>
              <w:t xml:space="preserve">             </w:t>
            </w:r>
          </w:p>
        </w:tc>
      </w:tr>
      <w:tr w:rsidR="00104E16">
        <w:trPr>
          <w:trHeight w:val="699"/>
        </w:trPr>
        <w:tc>
          <w:tcPr>
            <w:tcW w:w="1467" w:type="dxa"/>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lastRenderedPageBreak/>
              <w:t>通讯地址：</w:t>
            </w:r>
          </w:p>
        </w:tc>
        <w:tc>
          <w:tcPr>
            <w:tcW w:w="7555" w:type="dxa"/>
            <w:gridSpan w:val="3"/>
            <w:tcBorders>
              <w:top w:val="nil"/>
              <w:left w:val="nil"/>
              <w:bottom w:val="nil"/>
              <w:right w:val="nil"/>
            </w:tcBorders>
            <w:vAlign w:val="bottom"/>
          </w:tcPr>
          <w:p w:rsidR="00104E16" w:rsidRDefault="00EA32AE">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u w:val="single"/>
              </w:rPr>
              <w:t xml:space="preserve">                              </w:t>
            </w:r>
          </w:p>
        </w:tc>
      </w:tr>
    </w:tbl>
    <w:p w:rsidR="00104E16" w:rsidRDefault="00104E16">
      <w:pPr>
        <w:ind w:firstLine="636"/>
        <w:rPr>
          <w:rFonts w:ascii="仿宋" w:eastAsia="仿宋" w:hAnsi="仿宋"/>
          <w:sz w:val="32"/>
          <w:szCs w:val="32"/>
        </w:rPr>
      </w:pP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18" w:name="_Toc21444712"/>
      <w:r>
        <w:rPr>
          <w:rFonts w:ascii="黑体" w:eastAsia="黑体" w:hAnsi="Calibri"/>
          <w:kern w:val="0"/>
          <w:sz w:val="32"/>
        </w:rPr>
        <w:t>第1章　定义和解释</w:t>
      </w:r>
      <w:bookmarkEnd w:id="3"/>
      <w:bookmarkEnd w:id="4"/>
      <w:bookmarkEnd w:id="18"/>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 定义</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 售电市场交易：指符合准入条件的发电企业、售电企业、电力用户等市场主体，通过自主协商、集中竞价等市场化方式，开展的年、月等中长期电量交易。售电市场交易分为电力批发交易和电力零售交易。</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1.1.2 零售交易：电力用户向售电公司购买电能的交易。</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1.1.3 售电公司：包括拥有配电网运营权的售电公司和不拥有配电网运营权的独立的售电公司，其中拥有配电网运营权的售电公司需承担保底供电服务。</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1.1.4 零售用户：指进入政府批准的准入范围，通过售电公司购电的电力用户。</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1.1.5电网企业：是指拥有输电网、配电网运营权（包括地方电力公司、趸售区域供电公司），承担其供电营业区保底供电服务的企业。</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1.1.6 输配电价方式：</w:t>
      </w:r>
      <w:proofErr w:type="gramStart"/>
      <w:r>
        <w:rPr>
          <w:rFonts w:ascii="仿宋_GB2312" w:eastAsia="仿宋_GB2312" w:hAnsi="宋体" w:hint="eastAsia"/>
          <w:sz w:val="32"/>
        </w:rPr>
        <w:t>指丙方根</w:t>
      </w:r>
      <w:proofErr w:type="gramEnd"/>
      <w:r>
        <w:rPr>
          <w:rFonts w:ascii="仿宋_GB2312" w:eastAsia="仿宋_GB2312" w:hAnsi="宋体" w:hint="eastAsia"/>
          <w:sz w:val="32"/>
        </w:rPr>
        <w:t>据国家核定的输配电价收取输</w:t>
      </w:r>
      <w:proofErr w:type="gramStart"/>
      <w:r>
        <w:rPr>
          <w:rFonts w:ascii="仿宋_GB2312" w:eastAsia="仿宋_GB2312" w:hAnsi="宋体" w:hint="eastAsia"/>
          <w:sz w:val="32"/>
        </w:rPr>
        <w:t>配电费</w:t>
      </w:r>
      <w:proofErr w:type="gramEnd"/>
      <w:r>
        <w:rPr>
          <w:rFonts w:ascii="仿宋_GB2312" w:eastAsia="仿宋_GB2312" w:hAnsi="宋体" w:hint="eastAsia"/>
          <w:sz w:val="32"/>
        </w:rPr>
        <w:t>的方式。</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1.1.7 计量点：指经合同三方确认的本合同中计量市场交易电量的电能计量装置关口表安装位置。</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1.1.8 紧急情况：指电力系统发生事故或发电、输配电、用电设备发生重大事故，电网频率或者电压超出规定范围，输变电</w:t>
      </w:r>
      <w:r>
        <w:rPr>
          <w:rFonts w:ascii="仿宋_GB2312" w:eastAsia="仿宋_GB2312" w:hAnsi="宋体" w:hint="eastAsia"/>
          <w:sz w:val="32"/>
        </w:rPr>
        <w:lastRenderedPageBreak/>
        <w:t>设备负载超过规定值，主干线路功率超出规定的稳定限额以及其他威胁电网安全运行，有可能破坏电网稳定，导致电网瓦解以至大面积停电等运行情况，并且该情况在结束后得到能源监管机构确认。</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1.1.9 工作日：指除星期六、星期日及法定节假日以外的公历日。</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1.1.10 不可抗力：指不能预见、不能避免并不能克服的客观情况。包括：火山爆发、海啸、泥石流、山体滑坡、水灾、火灾、超设计标准的地震、灾害天气、</w:t>
      </w:r>
      <w:proofErr w:type="gramStart"/>
      <w:r>
        <w:rPr>
          <w:rFonts w:ascii="仿宋_GB2312" w:eastAsia="仿宋_GB2312" w:hAnsi="宋体" w:hint="eastAsia"/>
          <w:sz w:val="32"/>
        </w:rPr>
        <w:t>雾闪等</w:t>
      </w:r>
      <w:proofErr w:type="gramEnd"/>
      <w:r>
        <w:rPr>
          <w:rFonts w:ascii="仿宋_GB2312" w:eastAsia="仿宋_GB2312" w:hAnsi="宋体" w:hint="eastAsia"/>
          <w:sz w:val="32"/>
        </w:rPr>
        <w:t>，以及核辐射、战争、瘟疫、骚乱等。</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 解释</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1.2.1 本合同中的标题仅为阅读方便，不应被视为本合同的组成部分，亦不应以任何方式影响对本合同的解释。</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1.2.2 本合同附件与正文具有同等的法律效力。</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1.2.3 本合同对任何一方的合法承继者或受让人具有约束力，但当事人另有约定的除外。</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遇有本款约定的情形时，相关义务人应当依法履行必要的通知义务及完备的法律手续。</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1.2.4 除上下文另有要求外，本合同所指的电价都为含税电价口径，所指的日、月、年均为公历日、月、年。</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1.2.5 合同中的“包括”一词指：包括但不限于。</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19" w:name="_Toc21444713"/>
      <w:bookmarkStart w:id="20" w:name="_Toc25676"/>
      <w:r>
        <w:rPr>
          <w:rFonts w:ascii="黑体" w:eastAsia="黑体" w:hAnsi="Calibri"/>
          <w:kern w:val="0"/>
          <w:sz w:val="32"/>
        </w:rPr>
        <w:t>第2章 三方陈述</w:t>
      </w:r>
      <w:bookmarkEnd w:id="19"/>
      <w:bookmarkEnd w:id="20"/>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2.1 本合同的约束对象为</w:t>
      </w:r>
      <w:r>
        <w:rPr>
          <w:rFonts w:ascii="仿宋_GB2312" w:eastAsia="仿宋_GB2312" w:hAnsi="仿宋_GB2312" w:cs="仿宋_GB2312" w:hint="eastAsia"/>
          <w:sz w:val="32"/>
        </w:rPr>
        <w:t>甲、乙、丙三方</w:t>
      </w:r>
      <w:r>
        <w:rPr>
          <w:rFonts w:ascii="仿宋_GB2312" w:eastAsia="仿宋_GB2312" w:hAnsi="仿宋_GB2312" w:cs="仿宋_GB2312" w:hint="eastAsia"/>
          <w:color w:val="000000"/>
          <w:sz w:val="32"/>
          <w:szCs w:val="32"/>
        </w:rPr>
        <w:t>等参与市场化零售</w:t>
      </w:r>
      <w:r>
        <w:rPr>
          <w:rFonts w:ascii="仿宋_GB2312" w:eastAsia="仿宋_GB2312" w:hAnsi="仿宋_GB2312" w:cs="仿宋_GB2312" w:hint="eastAsia"/>
          <w:color w:val="000000"/>
          <w:sz w:val="32"/>
          <w:szCs w:val="32"/>
        </w:rPr>
        <w:lastRenderedPageBreak/>
        <w:t>业务的售电市场成员。</w:t>
      </w:r>
      <w:r>
        <w:rPr>
          <w:rFonts w:ascii="仿宋_GB2312" w:eastAsia="仿宋_GB2312" w:hAnsi="仿宋_GB2312" w:cs="仿宋_GB2312" w:hint="eastAsia"/>
          <w:sz w:val="32"/>
        </w:rPr>
        <w:t>甲、乙、丙三方</w:t>
      </w:r>
      <w:r>
        <w:rPr>
          <w:rFonts w:ascii="仿宋_GB2312" w:eastAsia="仿宋_GB2312" w:hAnsi="仿宋_GB2312" w:cs="仿宋_GB2312" w:hint="eastAsia"/>
          <w:color w:val="000000"/>
          <w:sz w:val="32"/>
          <w:szCs w:val="32"/>
        </w:rPr>
        <w:t>中任何一方在此向其他两方陈述如下：</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2.1.1 本方以合同的签署作为对本合同的确认，接受并遵守本合同的所有约定。</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2.1.2 本方为一家依法设立并合法存续的企业，有权签署并有能力履行本合同。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2.1.3 本方签署和履行本合同所需的一切手续，包括办理必要的政府批准、取得营业执照和相关业务许可等，均已办妥并合法有效。</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2.1.4</w:t>
      </w:r>
      <w:r>
        <w:rPr>
          <w:rFonts w:ascii="仿宋_GB2312" w:eastAsia="仿宋_GB2312" w:hAnsi="宋体" w:hint="eastAsia"/>
          <w:sz w:val="32"/>
        </w:rPr>
        <w:t>在签署本合同时，任何法院、仲裁机构或行政机关均未</w:t>
      </w:r>
      <w:proofErr w:type="gramStart"/>
      <w:r>
        <w:rPr>
          <w:rFonts w:ascii="仿宋_GB2312" w:eastAsia="仿宋_GB2312" w:hAnsi="宋体" w:hint="eastAsia"/>
          <w:sz w:val="32"/>
        </w:rPr>
        <w:t>作出</w:t>
      </w:r>
      <w:proofErr w:type="gramEnd"/>
      <w:r>
        <w:rPr>
          <w:rFonts w:ascii="仿宋_GB2312" w:eastAsia="仿宋_GB2312" w:hAnsi="宋体" w:hint="eastAsia"/>
          <w:sz w:val="32"/>
        </w:rPr>
        <w:t>任何足以对本方履行本合同产生重大不利影响的判决、裁定、裁决或其他法律行为。</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2.2 本方为签署本合同所需的内部授权程序均已完成，本方法定代表人或授权代理人签署，并加盖单位公章，本合同生效后即对三方具有法律约束力。</w:t>
      </w:r>
    </w:p>
    <w:p w:rsidR="00104E16" w:rsidRDefault="00EA32AE">
      <w:pPr>
        <w:spacing w:line="560" w:lineRule="exact"/>
        <w:ind w:firstLineChars="200" w:firstLine="640"/>
        <w:rPr>
          <w:rFonts w:ascii="仿宋" w:eastAsia="仿宋" w:hAnsi="仿宋" w:cs="仿宋_GB2312"/>
          <w:color w:val="000000"/>
          <w:sz w:val="32"/>
          <w:szCs w:val="32"/>
        </w:rPr>
      </w:pPr>
      <w:r>
        <w:rPr>
          <w:rFonts w:ascii="仿宋" w:eastAsia="仿宋" w:hAnsi="仿宋" w:cs="仿宋_GB2312"/>
          <w:color w:val="000000"/>
          <w:sz w:val="32"/>
          <w:szCs w:val="32"/>
        </w:rPr>
        <w:t>2.3</w:t>
      </w:r>
      <w:r>
        <w:rPr>
          <w:rFonts w:ascii="仿宋" w:eastAsia="仿宋" w:hAnsi="仿宋" w:cs="仿宋" w:hint="eastAsia"/>
          <w:sz w:val="32"/>
          <w:szCs w:val="32"/>
        </w:rPr>
        <w:t>在</w:t>
      </w:r>
      <w:r>
        <w:rPr>
          <w:rFonts w:ascii="仿宋" w:eastAsia="仿宋" w:hAnsi="仿宋" w:cs="仿宋" w:hint="eastAsia"/>
          <w:bCs/>
          <w:sz w:val="32"/>
          <w:szCs w:val="32"/>
        </w:rPr>
        <w:t>乙、丙双方已签订《供用电合同》，甲、乙双方已签订《浙江省售电公司与电力用户购售电合同》基础上</w:t>
      </w:r>
      <w:r>
        <w:rPr>
          <w:rFonts w:ascii="仿宋" w:eastAsia="仿宋" w:hAnsi="仿宋" w:cs="仿宋" w:hint="eastAsia"/>
          <w:sz w:val="32"/>
          <w:szCs w:val="32"/>
        </w:rPr>
        <w:t>，经三方协商一致后签署本合同。</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2.4 如国家法律、法规发生变化或者政府有关部门、监管机构出台有关规定、规则等，合同双方按照法律、法规、规定、规则予以调整和修改。</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1" w:name="_Toc17543"/>
      <w:bookmarkStart w:id="22" w:name="_Toc21444714"/>
      <w:r>
        <w:rPr>
          <w:rFonts w:ascii="黑体" w:eastAsia="黑体" w:hAnsi="Calibri"/>
          <w:kern w:val="0"/>
          <w:sz w:val="32"/>
        </w:rPr>
        <w:t>第3章 三方的权利和义务</w:t>
      </w:r>
      <w:bookmarkEnd w:id="21"/>
      <w:bookmarkEnd w:id="22"/>
    </w:p>
    <w:p w:rsidR="00104E16" w:rsidRDefault="00EA32AE">
      <w:pPr>
        <w:snapToGrid w:val="0"/>
        <w:spacing w:line="560" w:lineRule="exact"/>
        <w:ind w:firstLineChars="200" w:firstLine="640"/>
        <w:rPr>
          <w:rFonts w:ascii="仿宋_GB2312" w:eastAsia="仿宋_GB2312" w:hAnsi="宋体"/>
          <w:sz w:val="32"/>
        </w:rPr>
      </w:pPr>
      <w:r>
        <w:rPr>
          <w:rFonts w:ascii="宋体" w:hAnsi="宋体" w:cs="宋体" w:hint="eastAsia"/>
          <w:color w:val="000000"/>
          <w:sz w:val="32"/>
          <w:szCs w:val="32"/>
        </w:rPr>
        <w:t xml:space="preserve">3.1 </w:t>
      </w:r>
      <w:r>
        <w:rPr>
          <w:rFonts w:ascii="仿宋_GB2312" w:eastAsia="仿宋_GB2312" w:hAnsi="宋体" w:hint="eastAsia"/>
          <w:sz w:val="32"/>
        </w:rPr>
        <w:t>甲方的权利和义务</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3.1.1按规则参与零售市场交易，签订和履行本合同。</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3.1.2获得公平的输配电服务。</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3.1.3遵守相关政府电力管理部门有关电力需求</w:t>
      </w:r>
      <w:proofErr w:type="gramStart"/>
      <w:r>
        <w:rPr>
          <w:rFonts w:ascii="仿宋_GB2312" w:eastAsia="仿宋_GB2312" w:hAnsi="宋体" w:hint="eastAsia"/>
          <w:sz w:val="32"/>
        </w:rPr>
        <w:t>侧管理</w:t>
      </w:r>
      <w:proofErr w:type="gramEnd"/>
      <w:r>
        <w:rPr>
          <w:rFonts w:ascii="仿宋_GB2312" w:eastAsia="仿宋_GB2312" w:hAnsi="宋体" w:hint="eastAsia"/>
          <w:sz w:val="32"/>
        </w:rPr>
        <w:t>的规定，配合执行有序用电管理，配合开展错避峰。</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3.1.4按电网企业公布的程序和要求，配合零售用户办理用电业务，并协助用电方安全用电，保证用电秩序。</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3.1.5按规定披露和提供信息，获得市场交易等相关信息，履行保密职责。</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3.1.6按规定在省级政府指定网站和相关信用机构公示公司资产、经营状况等情况和信用承诺，依法对公司重大事项进行公告，并定期公布公司年报。</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3.1.7拥有配电网的售电公司应按照国家、电力行业和所在省标准，按需负责配电网络的投资、建设、运营和维护、检修和事故处理，无歧视提供配电服务，不得干预用户自主选择售电公司。同时拥有供电营业区内与电网企业相同的权利，并切实履行相同的责任和义务。</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3.1.8协助配合电网企业向零售用户收费，处理电量、电费争议、计量故障、差错调查等事项。</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3.1.9法律法规所赋予的其他权利和义务。</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3.2 乙方的权利和义务</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3.2.1按规则参与零售市场交易，签订和履行本合同。</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3.2.2自主选择交易对象、方式。</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3.2.3获得公平的输配电服务和电网接入服务，按规定交付零售交易电费、输配电费、缴纳政府性基金及附加、承担交叉补贴</w:t>
      </w:r>
      <w:r>
        <w:rPr>
          <w:rFonts w:ascii="仿宋_GB2312" w:eastAsia="仿宋_GB2312" w:hAnsi="宋体" w:hint="eastAsia"/>
          <w:sz w:val="32"/>
        </w:rPr>
        <w:lastRenderedPageBreak/>
        <w:t>等，并获取增值税发票。</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3.2.4遵守相关政府电力管理部门有关电力需求</w:t>
      </w:r>
      <w:proofErr w:type="gramStart"/>
      <w:r>
        <w:rPr>
          <w:rFonts w:ascii="仿宋_GB2312" w:eastAsia="仿宋_GB2312" w:hAnsi="宋体" w:hint="eastAsia"/>
          <w:sz w:val="32"/>
        </w:rPr>
        <w:t>侧管理</w:t>
      </w:r>
      <w:proofErr w:type="gramEnd"/>
      <w:r>
        <w:rPr>
          <w:rFonts w:ascii="仿宋_GB2312" w:eastAsia="仿宋_GB2312" w:hAnsi="宋体" w:hint="eastAsia"/>
          <w:sz w:val="32"/>
        </w:rPr>
        <w:t>的规定，执行有序用电管理，配合开展错避峰。保证安全用电，防止人身和财产等事故发生。</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3.2.5按规定披露和提供信息，获得市场交易等相关信息，履行保密职责。</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3.2.6负责本方产权计量用高压互感器和计量柜（屏、箱）的购置、安装、运行维护和故障处理。</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3.2.7服从电力调度机构统一调度，在系统特殊运行状况下（如事故、严重供不应求等）按调度机构要求安排用电。</w:t>
      </w:r>
    </w:p>
    <w:p w:rsidR="00104E16" w:rsidRDefault="00EA32AE">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3.2.8法律法规所赋予的其他权利和义务。</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 丙方的权利和义务</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3.3.1严格遵守法律法规、行业标准以及相关政府电力管理、监管部门的规定，保障经营</w:t>
      </w:r>
      <w:proofErr w:type="gramStart"/>
      <w:r>
        <w:rPr>
          <w:rFonts w:ascii="仿宋_GB2312" w:eastAsia="仿宋_GB2312" w:hAnsi="宋体" w:hint="eastAsia"/>
          <w:sz w:val="32"/>
        </w:rPr>
        <w:t>范围内输配电</w:t>
      </w:r>
      <w:proofErr w:type="gramEnd"/>
      <w:r>
        <w:rPr>
          <w:rFonts w:ascii="仿宋_GB2312" w:eastAsia="仿宋_GB2312" w:hAnsi="宋体" w:hint="eastAsia"/>
          <w:sz w:val="32"/>
        </w:rPr>
        <w:t>设施的安全、稳定、经济运行。</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3.3.2按</w:t>
      </w:r>
      <w:r>
        <w:rPr>
          <w:rFonts w:ascii="仿宋_GB2312" w:eastAsia="仿宋_GB2312" w:hint="eastAsia"/>
          <w:sz w:val="32"/>
        </w:rPr>
        <w:t>《浙江省中长期电力交易暂行规则（2020年修订版）》</w:t>
      </w:r>
      <w:r>
        <w:rPr>
          <w:rFonts w:ascii="仿宋_GB2312" w:eastAsia="仿宋_GB2312" w:hAnsi="宋体" w:hint="eastAsia"/>
          <w:sz w:val="32"/>
        </w:rPr>
        <w:t>为零售市场主体提供输配电服务，签订和履行本合同。</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3.3.3向零售用户提供报装、计量、抄表、维修、结算、收费、支付等各类供电服务，按规定收取输</w:t>
      </w:r>
      <w:proofErr w:type="gramStart"/>
      <w:r>
        <w:rPr>
          <w:rFonts w:ascii="仿宋_GB2312" w:eastAsia="仿宋_GB2312" w:hAnsi="宋体" w:hint="eastAsia"/>
          <w:sz w:val="32"/>
        </w:rPr>
        <w:t>配电费</w:t>
      </w:r>
      <w:proofErr w:type="gramEnd"/>
      <w:r>
        <w:rPr>
          <w:rFonts w:ascii="仿宋_GB2312" w:eastAsia="仿宋_GB2312" w:hAnsi="宋体" w:hint="eastAsia"/>
          <w:sz w:val="32"/>
        </w:rPr>
        <w:t>并承担市场主体的电费结算责任，负责归集交叉补贴，代收政府性基金，并按规定及时向售电公司支付相关费用。</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3.3.4确定电能计量点及计量方式。负责本方产权电能计量装置和采集终端的管理。负责计量故障、差错调查。负责建立和维护电能计量数据采集系统，开展电能计量数据的收集、核对和推</w:t>
      </w:r>
      <w:r>
        <w:rPr>
          <w:rFonts w:ascii="仿宋_GB2312" w:eastAsia="仿宋_GB2312" w:hAnsi="宋体" w:hint="eastAsia"/>
          <w:sz w:val="32"/>
        </w:rPr>
        <w:lastRenderedPageBreak/>
        <w:t>送。</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3.3.5按规定提供电力社会普遍服务和保底供电服务。</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3.3.6按规定披露和提供信息，获得市场交易等相关信息，履行保密职责。</w:t>
      </w:r>
    </w:p>
    <w:p w:rsidR="00104E16" w:rsidRDefault="00EA32AE">
      <w:pPr>
        <w:spacing w:line="560" w:lineRule="exact"/>
        <w:ind w:firstLineChars="200" w:firstLine="640"/>
        <w:rPr>
          <w:rFonts w:ascii="仿宋_GB2312" w:eastAsia="仿宋_GB2312" w:hAnsi="宋体"/>
          <w:sz w:val="32"/>
        </w:rPr>
      </w:pPr>
      <w:r>
        <w:rPr>
          <w:rFonts w:ascii="仿宋_GB2312" w:eastAsia="仿宋_GB2312" w:hAnsi="宋体" w:hint="eastAsia"/>
          <w:sz w:val="32"/>
        </w:rPr>
        <w:t>3.3.7法律法规所赋予的其他权利和义务。</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3" w:name="_Toc26148"/>
      <w:bookmarkStart w:id="24" w:name="_Toc21444715"/>
      <w:r>
        <w:rPr>
          <w:rFonts w:ascii="黑体" w:eastAsia="黑体" w:hAnsi="Calibri"/>
          <w:kern w:val="0"/>
          <w:sz w:val="32"/>
        </w:rPr>
        <w:t>第4章 电量、电价与电费</w:t>
      </w:r>
      <w:bookmarkEnd w:id="23"/>
      <w:bookmarkEnd w:id="24"/>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4.1 电量</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4.1.1 电量数据</w:t>
      </w:r>
    </w:p>
    <w:p w:rsidR="00104E16" w:rsidRDefault="00EA32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丙方按照相对固定的抄表例日每月抄录电表数据，按照交易规则向乙方与甲方提供相关电量数据。如对电量数据存在异议，乙方应按时足额交付电费，待争议解决后，双方据实进行退补。</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4.1.2 乙方更换售电公司的电量抄录</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乙方由于甲方退出市场，需更换售电公司时，乙方应提前告知丙方并办理相关手续。在乙方、丙方与新售电公司另行签订的</w:t>
      </w:r>
      <w:r>
        <w:rPr>
          <w:rFonts w:ascii="仿宋" w:eastAsia="仿宋" w:hAnsi="仿宋" w:cs="仿宋" w:hint="eastAsia"/>
          <w:bCs/>
          <w:sz w:val="32"/>
          <w:szCs w:val="32"/>
        </w:rPr>
        <w:t>《浙江省售电公司、电力市场化零售用户及与电网企业三方购售电合同》</w:t>
      </w:r>
      <w:r>
        <w:rPr>
          <w:rFonts w:ascii="仿宋_GB2312" w:eastAsia="仿宋_GB2312" w:hAnsi="仿宋_GB2312" w:cs="仿宋_GB2312" w:hint="eastAsia"/>
          <w:sz w:val="32"/>
          <w:szCs w:val="32"/>
        </w:rPr>
        <w:t>生效</w:t>
      </w:r>
      <w:r>
        <w:rPr>
          <w:rFonts w:ascii="仿宋_GB2312" w:eastAsia="仿宋_GB2312" w:hAnsi="仿宋_GB2312" w:cs="仿宋_GB2312" w:hint="eastAsia"/>
          <w:color w:val="000000"/>
          <w:sz w:val="32"/>
          <w:szCs w:val="32"/>
        </w:rPr>
        <w:t>日的下一个抄表日，丙方启动特抄流程，按照抄表例日抄录的冻结数据，并由乙方、丙方、本合同甲方、新售电公司四方确认。本抄表周期之前的电量归本合同甲方，下个抄表周期开始的电量归新售电公司。</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 电价和电费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 乙方用户用电价格</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乙方用户用电价格由零售市场交易价格、输配电价（含线损和交叉补贴）和政府性基金及附加三部分组成。</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4.2.1.1 零售市场交易价格由甲方与乙方协商约定。具体按照甲方与乙方签订的《浙江省售电公司与电力用户购售电合同》进行明确。</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4.2.1.2 输配电价、政府性基金及附加执行国家有关规定。在合同有效期内，如发生调整，按政府有关调整文件执行。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4.2.1.3根据国家及省有关政策规定，执行峰谷分时电价政策的乙方购电价格继续执行峰谷分时电价，未执行峰谷分时电价的用户按照单一交易价格与甲方进行结算。</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4.2.2 乙方购电电费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4.2.2.1 零售市场电量交易电费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按照甲方与乙方签订的《浙江省售电公司与电力用户购售电合同》确定的方式计算。</w:t>
      </w:r>
    </w:p>
    <w:p w:rsidR="00104E16" w:rsidRDefault="00EA32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4.2.2.2 </w:t>
      </w:r>
      <w:r>
        <w:rPr>
          <w:rFonts w:ascii="仿宋_GB2312" w:eastAsia="仿宋_GB2312" w:hAnsi="仿宋_GB2312" w:cs="仿宋_GB2312" w:hint="eastAsia"/>
          <w:sz w:val="32"/>
          <w:szCs w:val="32"/>
        </w:rPr>
        <w:t>输配电费</w:t>
      </w:r>
    </w:p>
    <w:p w:rsidR="00104E16" w:rsidRDefault="00EA32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1）电度电费</w:t>
      </w:r>
    </w:p>
    <w:p w:rsidR="00104E16" w:rsidRDefault="00EA32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按乙方对应电压等级、用电分类结算电量乘以对应的输配电度电价标准。</w:t>
      </w:r>
    </w:p>
    <w:p w:rsidR="00104E16" w:rsidRDefault="00EA32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2）基本电费</w:t>
      </w:r>
    </w:p>
    <w:p w:rsidR="00104E16" w:rsidRDefault="00EA32A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按丙方与乙方在《供用电合同》中的相关约定计算。</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4.2.2.3 政府性基金</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按乙方各用电类别结算电量乘以对应的政府性基金标准。</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4.2.2.4 功率因数调整电费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按国家《功率因数调整电费办法》等相关政策执行。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4.2.2.5 乙方自备电厂的系统备用容量费、自发自用电量收费按国家政策规定执行。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lastRenderedPageBreak/>
        <w:t>4.</w:t>
      </w:r>
      <w:r>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 xml:space="preserve">3 </w:t>
      </w:r>
      <w:r>
        <w:rPr>
          <w:rFonts w:ascii="仿宋_GB2312" w:eastAsia="仿宋_GB2312" w:hAnsi="仿宋_GB2312" w:cs="仿宋_GB2312" w:hint="eastAsia"/>
          <w:color w:val="000000"/>
          <w:sz w:val="32"/>
          <w:szCs w:val="32"/>
        </w:rPr>
        <w:t>甲方零售市场交易电费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按照甲方与乙方签订的《浙江省售电公司与电力用户购售电合同》确定的方式计算。</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4.3 电费结算与支付</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4.3.1 电费结算周期</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丙方按本合同约定的购电价格和抄录的电量与乙方结算购电电费，与甲方结算零售市场交易电费，</w:t>
      </w:r>
      <w:proofErr w:type="gramStart"/>
      <w:r>
        <w:rPr>
          <w:rFonts w:ascii="仿宋_GB2312" w:eastAsia="仿宋_GB2312" w:hAnsi="仿宋_GB2312" w:cs="仿宋_GB2312" w:hint="eastAsia"/>
          <w:color w:val="000000"/>
          <w:sz w:val="32"/>
          <w:szCs w:val="32"/>
        </w:rPr>
        <w:t>月结月清</w:t>
      </w:r>
      <w:proofErr w:type="gramEnd"/>
      <w:r>
        <w:rPr>
          <w:rFonts w:ascii="仿宋_GB2312" w:eastAsia="仿宋_GB2312" w:hAnsi="仿宋_GB2312" w:cs="仿宋_GB2312" w:hint="eastAsia"/>
          <w:color w:val="000000"/>
          <w:sz w:val="32"/>
          <w:szCs w:val="32"/>
        </w:rPr>
        <w:t>。</w:t>
      </w:r>
    </w:p>
    <w:p w:rsidR="00104E16" w:rsidRDefault="00EA32AE">
      <w:pPr>
        <w:spacing w:line="560" w:lineRule="exact"/>
        <w:ind w:firstLineChars="200" w:firstLine="640"/>
        <w:rPr>
          <w:rFonts w:ascii="仿宋" w:eastAsia="仿宋" w:hAnsi="仿宋" w:cs="仿宋_GB2312"/>
          <w:color w:val="000000"/>
          <w:sz w:val="32"/>
          <w:szCs w:val="32"/>
        </w:rPr>
      </w:pPr>
      <w:r>
        <w:rPr>
          <w:rFonts w:ascii="仿宋" w:eastAsia="仿宋" w:hAnsi="仿宋" w:cs="仿宋_GB2312"/>
          <w:color w:val="000000"/>
          <w:sz w:val="32"/>
          <w:szCs w:val="32"/>
        </w:rPr>
        <w:t xml:space="preserve">4.3.2 </w:t>
      </w:r>
      <w:r>
        <w:rPr>
          <w:rFonts w:ascii="仿宋" w:eastAsia="仿宋" w:hAnsi="仿宋" w:cs="仿宋_GB2312" w:hint="eastAsia"/>
          <w:color w:val="000000"/>
          <w:sz w:val="32"/>
          <w:szCs w:val="32"/>
        </w:rPr>
        <w:t>电费结算流程</w:t>
      </w:r>
    </w:p>
    <w:p w:rsidR="00104E16" w:rsidRDefault="00EA32AE">
      <w:pPr>
        <w:spacing w:line="560" w:lineRule="exact"/>
        <w:ind w:firstLineChars="200" w:firstLine="640"/>
        <w:rPr>
          <w:rFonts w:ascii="仿宋" w:eastAsia="仿宋" w:hAnsi="仿宋" w:cs="仿宋_GB2312"/>
          <w:color w:val="000000"/>
          <w:sz w:val="32"/>
          <w:szCs w:val="32"/>
        </w:rPr>
      </w:pPr>
      <w:r>
        <w:rPr>
          <w:rFonts w:ascii="仿宋" w:eastAsia="仿宋" w:hAnsi="仿宋" w:cs="仿宋" w:hint="eastAsia"/>
          <w:sz w:val="32"/>
          <w:szCs w:val="32"/>
        </w:rPr>
        <w:t>丙方每月按固定抄</w:t>
      </w:r>
      <w:r>
        <w:rPr>
          <w:rFonts w:ascii="仿宋" w:eastAsia="仿宋" w:hAnsi="仿宋" w:cs="仿宋" w:hint="eastAsia"/>
          <w:color w:val="000000" w:themeColor="text1"/>
          <w:sz w:val="32"/>
          <w:szCs w:val="32"/>
        </w:rPr>
        <w:t>表例日抄录上一周</w:t>
      </w:r>
      <w:r>
        <w:rPr>
          <w:rFonts w:ascii="仿宋" w:eastAsia="仿宋" w:hAnsi="仿宋" w:cs="仿宋" w:hint="eastAsia"/>
          <w:sz w:val="32"/>
          <w:szCs w:val="32"/>
        </w:rPr>
        <w:t>期乙方分户号和电压等级的电表冻结示数，并</w:t>
      </w:r>
      <w:r>
        <w:rPr>
          <w:rFonts w:ascii="仿宋" w:eastAsia="仿宋" w:hAnsi="仿宋" w:cs="仿宋_GB2312" w:hint="eastAsia"/>
          <w:color w:val="000000"/>
          <w:sz w:val="32"/>
          <w:szCs w:val="32"/>
        </w:rPr>
        <w:t>在每月第</w:t>
      </w:r>
      <w:r>
        <w:rPr>
          <w:rFonts w:ascii="仿宋" w:eastAsia="仿宋" w:hAnsi="仿宋" w:cs="仿宋_GB2312" w:hint="eastAsia"/>
          <w:color w:val="000000"/>
          <w:sz w:val="32"/>
          <w:szCs w:val="32"/>
          <w:u w:val="single"/>
        </w:rPr>
        <w:t xml:space="preserve">  </w:t>
      </w:r>
      <w:proofErr w:type="gramStart"/>
      <w:r>
        <w:rPr>
          <w:rFonts w:ascii="仿宋" w:eastAsia="仿宋" w:hAnsi="仿宋" w:cs="仿宋_GB2312" w:hint="eastAsia"/>
          <w:color w:val="000000"/>
          <w:sz w:val="32"/>
          <w:szCs w:val="32"/>
        </w:rPr>
        <w:t>个</w:t>
      </w:r>
      <w:proofErr w:type="gramEnd"/>
      <w:r>
        <w:rPr>
          <w:rFonts w:ascii="仿宋" w:eastAsia="仿宋" w:hAnsi="仿宋" w:cs="仿宋_GB2312" w:hint="eastAsia"/>
          <w:color w:val="000000"/>
          <w:sz w:val="32"/>
          <w:szCs w:val="32"/>
        </w:rPr>
        <w:t>工作日前</w:t>
      </w:r>
      <w:r>
        <w:rPr>
          <w:rFonts w:ascii="仿宋" w:eastAsia="仿宋" w:hAnsi="仿宋" w:cs="仿宋" w:hint="eastAsia"/>
          <w:sz w:val="32"/>
          <w:szCs w:val="32"/>
        </w:rPr>
        <w:t>向甲方、乙方提供本周期实际用电量数据（含峰谷电量）。甲方在接到丙方提供电量数据后</w:t>
      </w:r>
      <w:r>
        <w:rPr>
          <w:rFonts w:ascii="仿宋" w:eastAsia="仿宋" w:hAnsi="仿宋" w:cs="仿宋" w:hint="eastAsia"/>
          <w:sz w:val="32"/>
          <w:szCs w:val="32"/>
          <w:u w:val="single"/>
        </w:rPr>
        <w:t xml:space="preserve">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工作日内，根据相关电量数据，按照甲乙双方签订的</w:t>
      </w:r>
      <w:r>
        <w:rPr>
          <w:rFonts w:ascii="仿宋" w:eastAsia="仿宋" w:hAnsi="仿宋" w:cs="仿宋_GB2312" w:hint="eastAsia"/>
          <w:color w:val="000000"/>
          <w:sz w:val="32"/>
          <w:szCs w:val="32"/>
        </w:rPr>
        <w:t>《浙江省售电公司与电力用户购售电合同》，将包括分户号和电压等级的电量、电费以及偏差情况在内的结算方案，与乙方核对确认。乙方应在</w:t>
      </w:r>
      <w:r>
        <w:rPr>
          <w:rFonts w:ascii="仿宋" w:eastAsia="仿宋" w:hAnsi="仿宋" w:cs="仿宋" w:hint="eastAsia"/>
          <w:sz w:val="32"/>
          <w:szCs w:val="32"/>
          <w:u w:val="single"/>
        </w:rPr>
        <w:t xml:space="preserve">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工作日内完成</w:t>
      </w:r>
      <w:r>
        <w:rPr>
          <w:rFonts w:ascii="仿宋" w:eastAsia="仿宋" w:hAnsi="仿宋" w:cs="仿宋_GB2312" w:hint="eastAsia"/>
          <w:color w:val="000000"/>
          <w:sz w:val="32"/>
          <w:szCs w:val="32"/>
        </w:rPr>
        <w:t>签章确认。在乙方完成确认后，甲方</w:t>
      </w:r>
      <w:r>
        <w:rPr>
          <w:rFonts w:ascii="仿宋" w:eastAsia="仿宋" w:hAnsi="仿宋" w:cs="仿宋" w:hint="eastAsia"/>
          <w:sz w:val="32"/>
          <w:szCs w:val="32"/>
        </w:rPr>
        <w:t>在</w:t>
      </w:r>
      <w:r>
        <w:rPr>
          <w:rFonts w:ascii="仿宋" w:eastAsia="仿宋" w:hAnsi="仿宋" w:cs="仿宋" w:hint="eastAsia"/>
          <w:sz w:val="32"/>
          <w:szCs w:val="32"/>
          <w:u w:val="single"/>
        </w:rPr>
        <w:t xml:space="preserve">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工作日内结算依据提交至丙方进行结算。</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4.3.3 电费核算结果告知</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丙方应将核算的电量电费结果及时通知甲方和乙方。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4.3.4 乙方缴纳购电电费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4.3.4.1 乙方应按照《供用电合同》约定的交费方式及时向丙方缴纳购电电费。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4.</w:t>
      </w:r>
      <w:r>
        <w:rPr>
          <w:rFonts w:ascii="仿宋_GB2312" w:eastAsia="仿宋_GB2312" w:hAnsi="仿宋_GB2312" w:cs="仿宋_GB2312" w:hint="eastAsia"/>
          <w:color w:val="000000"/>
          <w:sz w:val="32"/>
          <w:szCs w:val="32"/>
        </w:rPr>
        <w:t>3.4</w:t>
      </w:r>
      <w:r>
        <w:rPr>
          <w:rFonts w:ascii="仿宋_GB2312" w:eastAsia="仿宋_GB2312" w:hAnsi="仿宋_GB2312" w:cs="仿宋_GB2312"/>
          <w:color w:val="000000"/>
          <w:sz w:val="32"/>
          <w:szCs w:val="32"/>
        </w:rPr>
        <w:t xml:space="preserve">.2 </w:t>
      </w:r>
      <w:r>
        <w:rPr>
          <w:rFonts w:ascii="仿宋_GB2312" w:eastAsia="仿宋_GB2312" w:hAnsi="仿宋_GB2312" w:cs="仿宋_GB2312" w:hint="eastAsia"/>
          <w:color w:val="000000"/>
          <w:sz w:val="32"/>
          <w:szCs w:val="32"/>
        </w:rPr>
        <w:t>若遇电费争议，乙方应先按丙方所计算的电费金额结算，待争议解决后，双方据实退补。</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5" w:name="_Toc21444716"/>
      <w:bookmarkStart w:id="26" w:name="_Toc16592"/>
      <w:r>
        <w:rPr>
          <w:rFonts w:ascii="黑体" w:eastAsia="黑体" w:hAnsi="Calibri"/>
          <w:kern w:val="0"/>
          <w:sz w:val="32"/>
        </w:rPr>
        <w:lastRenderedPageBreak/>
        <w:t>第5章 保底供电服务</w:t>
      </w:r>
      <w:bookmarkEnd w:id="25"/>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5.1在下列情形下，</w:t>
      </w:r>
      <w:r>
        <w:rPr>
          <w:rFonts w:ascii="仿宋_GB2312" w:eastAsia="仿宋_GB2312" w:hAnsi="仿宋_GB2312" w:cs="仿宋_GB2312" w:hint="eastAsia"/>
          <w:color w:val="000000"/>
          <w:sz w:val="32"/>
          <w:szCs w:val="32"/>
        </w:rPr>
        <w:t>丙方应为乙方提供保底供电服务，保底供电价格按国家及省有关政策执行：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（1）甲方终止经营且乙方未选定新的售电方；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（2）甲方无力提供售电服务且乙方未选定新的售电方，丙方在保障电网安全和不影响其他用电方正常供电前提下，丙方向用电方提供保底供电服务。</w:t>
      </w:r>
    </w:p>
    <w:p w:rsidR="00104E16" w:rsidRDefault="00EA32AE">
      <w:pPr>
        <w:spacing w:line="560" w:lineRule="exact"/>
        <w:ind w:firstLineChars="250" w:firstLine="80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（3）乙方与甲方签订的购售电合同到期且乙方未选定新的售电方；</w:t>
      </w:r>
    </w:p>
    <w:p w:rsidR="00104E16" w:rsidRDefault="00EA32AE">
      <w:pPr>
        <w:spacing w:line="560" w:lineRule="exact"/>
        <w:ind w:firstLineChars="250" w:firstLine="80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（4）其它需要提供保底供电服务的情形。</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7" w:name="_Toc21444717"/>
      <w:r>
        <w:rPr>
          <w:rFonts w:ascii="黑体" w:eastAsia="黑体" w:hAnsi="Calibri"/>
          <w:kern w:val="0"/>
          <w:sz w:val="32"/>
        </w:rPr>
        <w:t>第6章 合同变更和解除</w:t>
      </w:r>
      <w:bookmarkEnd w:id="26"/>
      <w:bookmarkEnd w:id="27"/>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 合同变更</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6.1.1 合同履行中发生下列情形，三方应协商修改相关条款：</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6.1.1.1 由于供电能力变化或国家对电力供应与使用管理的政策调整，使订立合同时的依据被修改或取消。</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6.1.1.2 其他需要变更合同的情形。</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如乙方发生改变供电方式、增加或减少受电点、增加或减少用电容量等用电变更的业务，则在丙方与乙方所签订的《供用电合同》中予以变更，本合同无需进行变更，由乙方</w:t>
      </w:r>
      <w:proofErr w:type="gramStart"/>
      <w:r>
        <w:rPr>
          <w:rFonts w:ascii="仿宋_GB2312" w:eastAsia="仿宋_GB2312" w:hAnsi="仿宋_GB2312" w:cs="仿宋_GB2312" w:hint="eastAsia"/>
          <w:color w:val="000000"/>
          <w:sz w:val="32"/>
          <w:szCs w:val="32"/>
        </w:rPr>
        <w:t>按照业扩</w:t>
      </w:r>
      <w:proofErr w:type="gramEnd"/>
      <w:r>
        <w:rPr>
          <w:rFonts w:ascii="仿宋_GB2312" w:eastAsia="仿宋_GB2312" w:hAnsi="仿宋_GB2312" w:cs="仿宋_GB2312" w:hint="eastAsia"/>
          <w:color w:val="000000"/>
          <w:sz w:val="32"/>
          <w:szCs w:val="32"/>
        </w:rPr>
        <w:t>报装及变更用电流程向丙方提出申请，丙方进行确认后生效。乙方在办理用电业务变更时应事先告知甲方。</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6.1.2 合同如需变更，按以下程序进行：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6.1.2.1 一方提出合同变更请求，三方协商达成一致。</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6.1.2.2 三方双方签订《合同事项变更确认书》（附件1）</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6.1.2.3 本合同的任何修改、补充或变更必须以书面的形式进行，</w:t>
      </w:r>
      <w:proofErr w:type="gramStart"/>
      <w:r>
        <w:rPr>
          <w:rFonts w:ascii="仿宋_GB2312" w:eastAsia="仿宋_GB2312" w:hAnsi="仿宋_GB2312" w:cs="仿宋_GB2312" w:hint="eastAsia"/>
          <w:color w:val="000000"/>
          <w:sz w:val="32"/>
          <w:szCs w:val="32"/>
        </w:rPr>
        <w:t>三方法</w:t>
      </w:r>
      <w:proofErr w:type="gramEnd"/>
      <w:r>
        <w:rPr>
          <w:rFonts w:ascii="仿宋_GB2312" w:eastAsia="仿宋_GB2312" w:hAnsi="仿宋_GB2312" w:cs="仿宋_GB2312" w:hint="eastAsia"/>
          <w:color w:val="000000"/>
          <w:sz w:val="32"/>
          <w:szCs w:val="32"/>
        </w:rPr>
        <w:t>定代表人或授权代表签字后方为有效。</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sidR="00713C6B">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合同解除</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sidR="00713C6B">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.1 甲方、乙方或丙方任一方市场主体资格丧失或依法宣告破产或被政府部门强制退出，本合同自动解除。</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Pr>
          <w:rFonts w:ascii="仿宋_GB2312" w:eastAsia="仿宋_GB2312" w:hAnsi="仿宋_GB2312" w:cs="仿宋_GB2312"/>
          <w:color w:val="000000"/>
          <w:sz w:val="32"/>
          <w:szCs w:val="32"/>
        </w:rPr>
        <w:t>.</w:t>
      </w:r>
      <w:r w:rsidR="00713C6B">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.2</w:t>
      </w:r>
      <w:r>
        <w:rPr>
          <w:rFonts w:ascii="仿宋_GB2312" w:eastAsia="仿宋_GB2312" w:hAnsi="仿宋_GB2312" w:cs="仿宋_GB2312" w:hint="eastAsia"/>
          <w:color w:val="000000"/>
          <w:sz w:val="32"/>
          <w:szCs w:val="32"/>
        </w:rPr>
        <w:t>甲、乙双方提前终止其签订的购售电合同，应至少提前</w:t>
      </w:r>
      <w:r>
        <w:rPr>
          <w:rFonts w:ascii="仿宋_GB2312" w:eastAsia="仿宋_GB2312" w:hAnsi="仿宋_GB2312" w:cs="仿宋_GB2312"/>
          <w:color w:val="000000"/>
          <w:sz w:val="32"/>
          <w:szCs w:val="32"/>
        </w:rPr>
        <w:t>30个工作日</w:t>
      </w:r>
      <w:r>
        <w:rPr>
          <w:rFonts w:ascii="仿宋_GB2312" w:eastAsia="仿宋_GB2312" w:hAnsi="仿宋_GB2312" w:cs="仿宋_GB2312" w:hint="eastAsia"/>
          <w:color w:val="000000"/>
          <w:sz w:val="32"/>
          <w:szCs w:val="32"/>
        </w:rPr>
        <w:t>以书面形式通知丙方，因甲、乙方未对丙方履行告知义务，造成电费结算存在异议，甲、乙方应承担相应风险和损失。</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sidR="00713C6B">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.3 本合同解除后，乙方与丙方签订的《供用电合同》其他内容继续有效，丙方依据合同约定，按照相关政策和程序继续向乙方供电，并按相关规定完成市场化交易电量的清算和收费工作。</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w:t>
      </w:r>
      <w:r w:rsidR="00713C6B">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.4 其他情况经三方协商一致，可解除本合同。</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28" w:name="_Toc21444718"/>
      <w:bookmarkStart w:id="29" w:name="_Toc7923"/>
      <w:bookmarkStart w:id="30" w:name="_GoBack"/>
      <w:bookmarkEnd w:id="30"/>
      <w:r>
        <w:rPr>
          <w:rFonts w:ascii="黑体" w:eastAsia="黑体" w:hAnsi="Calibri"/>
          <w:kern w:val="0"/>
          <w:sz w:val="32"/>
        </w:rPr>
        <w:t>第7章 违约责任</w:t>
      </w:r>
      <w:bookmarkEnd w:id="28"/>
      <w:bookmarkEnd w:id="29"/>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7.1 违约责任</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甲方、乙方、丙方违反本合同约定义务，应当按照国家、电力行业标准或本合同约定予以改正，并继续履行。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 违约的处理原则</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7.2.1 违约方应承</w:t>
      </w:r>
      <w:proofErr w:type="gramStart"/>
      <w:r>
        <w:rPr>
          <w:rFonts w:ascii="仿宋_GB2312" w:eastAsia="仿宋_GB2312" w:hAnsi="仿宋_GB2312" w:cs="仿宋_GB2312" w:hint="eastAsia"/>
          <w:color w:val="000000"/>
          <w:sz w:val="32"/>
          <w:szCs w:val="32"/>
        </w:rPr>
        <w:t>担继续</w:t>
      </w:r>
      <w:proofErr w:type="gramEnd"/>
      <w:r>
        <w:rPr>
          <w:rFonts w:ascii="仿宋_GB2312" w:eastAsia="仿宋_GB2312" w:hAnsi="仿宋_GB2312" w:cs="仿宋_GB2312" w:hint="eastAsia"/>
          <w:color w:val="000000"/>
          <w:sz w:val="32"/>
          <w:szCs w:val="32"/>
        </w:rPr>
        <w:t>履行本合同、采取补救措施等责任。在继续履约或者采取补救措施后，仍对其他方造成其他损失的，应当赔偿损失。</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7.2.2 在本合同履行期限届满之前，任何一方明确表示或以</w:t>
      </w:r>
      <w:r>
        <w:rPr>
          <w:rFonts w:ascii="仿宋_GB2312" w:eastAsia="仿宋_GB2312" w:hAnsi="仿宋_GB2312" w:cs="仿宋_GB2312" w:hint="eastAsia"/>
          <w:color w:val="000000"/>
          <w:sz w:val="32"/>
          <w:szCs w:val="32"/>
        </w:rPr>
        <w:lastRenderedPageBreak/>
        <w:t>自己的行为表明不履行合同义务的，另外两方可在履行期限届满前解除合同并要求其承担相应的违约责任。</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7.2.3 一方违约后，另外两方应当采取适当的措施防止损失进一步扩大，如果因没有采取适当的措施致使损失扩大的，则不得就扩大的损失要求违约方承担赔偿责任。</w:t>
      </w:r>
    </w:p>
    <w:p w:rsidR="000077E9" w:rsidRPr="000077E9" w:rsidRDefault="000077E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7.2.4</w:t>
      </w:r>
      <w:r w:rsidR="000F65B3">
        <w:rPr>
          <w:rFonts w:ascii="仿宋_GB2312" w:eastAsia="仿宋_GB2312" w:hAnsi="宋体" w:hint="eastAsia"/>
          <w:sz w:val="32"/>
        </w:rPr>
        <w:t>提交履约保函的售电公司，存在付款违约情形的，按照《浙江省售电市场履约管理实施细则（试行）》（浙</w:t>
      </w:r>
      <w:proofErr w:type="gramStart"/>
      <w:r w:rsidR="000F65B3">
        <w:rPr>
          <w:rFonts w:ascii="仿宋_GB2312" w:eastAsia="仿宋_GB2312" w:hAnsi="宋体" w:hint="eastAsia"/>
          <w:sz w:val="32"/>
        </w:rPr>
        <w:t>电交易</w:t>
      </w:r>
      <w:proofErr w:type="gramEnd"/>
      <w:r w:rsidR="000F65B3">
        <w:rPr>
          <w:rFonts w:ascii="仿宋_GB2312" w:eastAsia="仿宋_GB2312" w:hAnsi="宋体" w:hint="eastAsia"/>
          <w:sz w:val="32"/>
        </w:rPr>
        <w:t>市场</w:t>
      </w:r>
      <w:r w:rsidR="000F65B3">
        <w:rPr>
          <w:rFonts w:ascii="仿宋" w:eastAsia="仿宋" w:hAnsi="仿宋" w:hint="eastAsia"/>
          <w:sz w:val="32"/>
        </w:rPr>
        <w:t>〔2021〕33号）处理。国家另有规定的，从其规定</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7.2.</w:t>
      </w:r>
      <w:r w:rsidR="000F65B3">
        <w:rPr>
          <w:rFonts w:ascii="仿宋_GB2312" w:eastAsia="仿宋_GB2312" w:hAnsi="仿宋_GB2312" w:cs="仿宋_GB2312" w:hint="eastAsia"/>
          <w:color w:val="000000"/>
          <w:sz w:val="32"/>
          <w:szCs w:val="32"/>
        </w:rPr>
        <w:t>5</w:t>
      </w:r>
      <w:r>
        <w:rPr>
          <w:rFonts w:ascii="仿宋_GB2312" w:eastAsia="仿宋_GB2312" w:hAnsi="仿宋_GB2312" w:cs="仿宋_GB2312" w:hint="eastAsia"/>
          <w:color w:val="000000"/>
          <w:sz w:val="32"/>
          <w:szCs w:val="32"/>
        </w:rPr>
        <w:t>除另有约定外，一旦发生任何一方未能履行本合同项下的任何义务的情况，非违约方可向违约方发出有关违约的书面通知，如果在通知发出后</w:t>
      </w:r>
      <w:r>
        <w:rPr>
          <w:rFonts w:ascii="仿宋_GB2312" w:eastAsia="仿宋_GB2312" w:hAnsi="仿宋_GB2312" w:cs="仿宋_GB2312"/>
          <w:color w:val="000000"/>
          <w:sz w:val="32"/>
          <w:szCs w:val="32"/>
          <w:u w:val="single"/>
        </w:rPr>
        <w:t xml:space="preserve"> </w:t>
      </w:r>
      <w:r>
        <w:rPr>
          <w:rFonts w:ascii="仿宋" w:eastAsia="仿宋" w:hAnsi="仿宋" w:cs="仿宋" w:hint="eastAsia"/>
          <w:sz w:val="32"/>
          <w:szCs w:val="32"/>
          <w:u w:val="single"/>
        </w:rPr>
        <w:t xml:space="preserve">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日内，违约方仍未纠正其违约的，应承担相应的违约责任。</w:t>
      </w:r>
    </w:p>
    <w:p w:rsidR="00104E16" w:rsidRDefault="00EA32AE">
      <w:pPr>
        <w:pStyle w:val="1"/>
        <w:autoSpaceDE w:val="0"/>
        <w:autoSpaceDN w:val="0"/>
        <w:adjustRightInd w:val="0"/>
        <w:snapToGrid w:val="0"/>
        <w:spacing w:line="560" w:lineRule="exact"/>
        <w:ind w:leftChars="50" w:left="105" w:rightChars="50" w:right="105"/>
        <w:jc w:val="center"/>
        <w:textAlignment w:val="baseline"/>
        <w:rPr>
          <w:rFonts w:ascii="黑体" w:eastAsia="黑体" w:hAnsi="Calibri" w:hint="default"/>
          <w:kern w:val="0"/>
          <w:sz w:val="32"/>
        </w:rPr>
      </w:pPr>
      <w:bookmarkStart w:id="31" w:name="_Toc29704"/>
      <w:bookmarkStart w:id="32" w:name="_Toc21444719"/>
      <w:r>
        <w:rPr>
          <w:rFonts w:ascii="黑体" w:eastAsia="黑体" w:hAnsi="Calibri"/>
          <w:kern w:val="0"/>
          <w:sz w:val="32"/>
        </w:rPr>
        <w:t>第8章 附则</w:t>
      </w:r>
      <w:bookmarkEnd w:id="31"/>
      <w:bookmarkEnd w:id="32"/>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8.1 合同效力</w:t>
      </w:r>
    </w:p>
    <w:p w:rsidR="00104E16" w:rsidRDefault="00EA32AE">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Ansi="仿宋_GB2312" w:cs="仿宋_GB2312" w:hint="eastAsia"/>
          <w:color w:val="000000"/>
          <w:sz w:val="32"/>
          <w:szCs w:val="32"/>
        </w:rPr>
        <w:t>8.1.1本合同三方签署并加盖公章或合同专用章后成立。合同有效期：</w:t>
      </w:r>
      <w:r>
        <w:rPr>
          <w:rFonts w:ascii="仿宋_GB2312" w:eastAsia="仿宋_GB2312" w:hint="eastAsia"/>
          <w:snapToGrid w:val="0"/>
          <w:kern w:val="0"/>
          <w:sz w:val="32"/>
        </w:rPr>
        <w:t>自合同签订之日生效，合同交易时段为</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8.1.2 本合同可</w:t>
      </w:r>
      <w:proofErr w:type="gramStart"/>
      <w:r>
        <w:rPr>
          <w:rFonts w:ascii="仿宋_GB2312" w:eastAsia="仿宋_GB2312" w:hAnsi="仿宋_GB2312" w:cs="仿宋_GB2312" w:hint="eastAsia"/>
          <w:color w:val="000000"/>
          <w:sz w:val="32"/>
          <w:szCs w:val="32"/>
        </w:rPr>
        <w:t>因如下</w:t>
      </w:r>
      <w:proofErr w:type="gramEnd"/>
      <w:r>
        <w:rPr>
          <w:rFonts w:ascii="仿宋_GB2312" w:eastAsia="仿宋_GB2312" w:hAnsi="仿宋_GB2312" w:cs="仿宋_GB2312" w:hint="eastAsia"/>
          <w:color w:val="000000"/>
          <w:sz w:val="32"/>
          <w:szCs w:val="32"/>
        </w:rPr>
        <w:t>情形终止，终止不影响协议既有债权、债务的依法处理：</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（1）任一方依法宣告破产。</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（2）协议依法或依协议解除。</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（3）协议有效期届满。</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本合同终止后，乙方与丙方的权利义务</w:t>
      </w:r>
      <w:proofErr w:type="gramStart"/>
      <w:r>
        <w:rPr>
          <w:rFonts w:ascii="仿宋_GB2312" w:eastAsia="仿宋_GB2312" w:hAnsi="仿宋_GB2312" w:cs="仿宋_GB2312" w:hint="eastAsia"/>
          <w:color w:val="000000"/>
          <w:sz w:val="32"/>
          <w:szCs w:val="32"/>
        </w:rPr>
        <w:t>按签订</w:t>
      </w:r>
      <w:proofErr w:type="gramEnd"/>
      <w:r>
        <w:rPr>
          <w:rFonts w:ascii="仿宋_GB2312" w:eastAsia="仿宋_GB2312" w:hAnsi="仿宋_GB2312" w:cs="仿宋_GB2312" w:hint="eastAsia"/>
          <w:color w:val="000000"/>
          <w:sz w:val="32"/>
          <w:szCs w:val="32"/>
        </w:rPr>
        <w:t>的《供用电合</w:t>
      </w:r>
      <w:r>
        <w:rPr>
          <w:rFonts w:ascii="仿宋_GB2312" w:eastAsia="仿宋_GB2312" w:hAnsi="仿宋_GB2312" w:cs="仿宋_GB2312" w:hint="eastAsia"/>
          <w:color w:val="000000"/>
          <w:sz w:val="32"/>
          <w:szCs w:val="32"/>
        </w:rPr>
        <w:lastRenderedPageBreak/>
        <w:t>同》执行，</w:t>
      </w:r>
      <w:r>
        <w:rPr>
          <w:rFonts w:ascii="仿宋_GB2312" w:eastAsia="仿宋_GB2312" w:hAnsi="仿宋_GB2312" w:cs="仿宋_GB2312" w:hint="eastAsia"/>
          <w:sz w:val="32"/>
          <w:szCs w:val="32"/>
        </w:rPr>
        <w:t>涉及惩罚性电价按</w:t>
      </w:r>
      <w:r>
        <w:rPr>
          <w:rFonts w:ascii="仿宋_GB2312" w:eastAsia="仿宋_GB2312" w:hint="eastAsia"/>
          <w:sz w:val="32"/>
        </w:rPr>
        <w:t>《浙江省中长期电力交易暂行规则（2020年修订版）》</w:t>
      </w:r>
      <w:r>
        <w:rPr>
          <w:rFonts w:ascii="仿宋_GB2312" w:eastAsia="仿宋_GB2312" w:hAnsi="仿宋_GB2312" w:cs="仿宋_GB2312" w:hint="eastAsia"/>
          <w:sz w:val="32"/>
          <w:szCs w:val="32"/>
        </w:rPr>
        <w:t>的相关</w:t>
      </w:r>
      <w:r>
        <w:rPr>
          <w:rFonts w:ascii="仿宋_GB2312" w:eastAsia="仿宋_GB2312" w:hAnsi="仿宋_GB2312" w:cs="仿宋_GB2312" w:hint="eastAsia"/>
          <w:color w:val="000000"/>
          <w:sz w:val="32"/>
          <w:szCs w:val="32"/>
        </w:rPr>
        <w:t>规定执行。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8.2 联系人及通讯方式</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甲方地址：</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，联系人：</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，联系电话</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,传真：</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，电子邮箱：</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乙方地址：</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，联系人：</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，联系电话</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,传真：</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，电子邮箱：</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丙方地址：</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，联系人：</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，联系电话</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,传真：</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，电子邮箱：</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8.3 争议解决</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8.3.1 三方发生争议时，应首先通过友好协商解决。协商不成的，可提交</w:t>
      </w:r>
      <w:r>
        <w:rPr>
          <w:rFonts w:ascii="仿宋_GB2312" w:eastAsia="仿宋_GB2312" w:hint="eastAsia"/>
          <w:sz w:val="32"/>
        </w:rPr>
        <w:t>国家能源局浙江监管办公室</w:t>
      </w:r>
      <w:r>
        <w:rPr>
          <w:rFonts w:ascii="仿宋_GB2312" w:eastAsia="仿宋_GB2312" w:hAnsi="仿宋_GB2312" w:cs="仿宋_GB2312" w:hint="eastAsia"/>
          <w:color w:val="000000"/>
          <w:sz w:val="32"/>
          <w:szCs w:val="32"/>
        </w:rPr>
        <w:t>或省政府职能管理部门进行调解。调解程序并非仲裁、诉讼的必经程序。</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8.3.2 若争议经协商和（或）调解仍无法解决的，按以下</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方式处理：</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（1）仲裁：提交</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仲裁，按照申请仲裁时该仲裁机构有效的仲裁规则进行仲裁。仲裁裁决是终局的，对各方均有约束力；</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（2）诉讼：向</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color w:val="000000"/>
          <w:sz w:val="32"/>
          <w:szCs w:val="32"/>
        </w:rPr>
        <w:t>所在地人民法院提起诉讼。</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8.3.3 在争议解决期间，合同中未涉及争议部分的条款仍须履行。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 通知及同意</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8.4.1 根据本合同规定发出的所有通知及同意，应按照下列地址、电子邮箱或传真号码送达相关方。有关通知</w:t>
      </w:r>
      <w:proofErr w:type="gramStart"/>
      <w:r>
        <w:rPr>
          <w:rFonts w:ascii="仿宋_GB2312" w:eastAsia="仿宋_GB2312" w:hAnsi="仿宋_GB2312" w:cs="仿宋_GB2312" w:hint="eastAsia"/>
          <w:color w:val="000000"/>
          <w:sz w:val="32"/>
          <w:szCs w:val="32"/>
        </w:rPr>
        <w:t>及同意</w:t>
      </w:r>
      <w:proofErr w:type="gramEnd"/>
      <w:r>
        <w:rPr>
          <w:rFonts w:ascii="仿宋_GB2312" w:eastAsia="仿宋_GB2312" w:hAnsi="仿宋_GB2312" w:cs="仿宋_GB2312" w:hint="eastAsia"/>
          <w:color w:val="000000"/>
          <w:sz w:val="32"/>
          <w:szCs w:val="32"/>
        </w:rPr>
        <w:t>按下述</w:t>
      </w:r>
      <w:r>
        <w:rPr>
          <w:rFonts w:ascii="仿宋_GB2312" w:eastAsia="仿宋_GB2312" w:hAnsi="仿宋_GB2312" w:cs="仿宋_GB2312" w:hint="eastAsia"/>
          <w:color w:val="000000"/>
          <w:sz w:val="32"/>
          <w:szCs w:val="32"/>
        </w:rPr>
        <w:lastRenderedPageBreak/>
        <w:t>规定予以具体确定：</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8.4.1.1 通过邮寄方式发送的，邮寄到相应地址之日为其有效送达之日。</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8.4.1.2 通过电子邮件形式发送的，由收件人收到之日为其有效送达之日。</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8.4.1.3 通过传真形式发送的，发出并收到发送成功确认函之日为其有效送达之日。</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8.4.2 如果按照上述原则确定的有效送达日在收件人所在地不属于工作日的，则当地收讫日后的第一个工作日为该通知或同意的有效送达日。</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8.4.3 任何一方的接收地址、电子邮箱或传真号码等信息发生变化的，均应按本合同约定，向另一方发出通知，变更其接收地址、电子邮箱或传真号码。</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8.5 文本和附件</w:t>
      </w:r>
    </w:p>
    <w:p w:rsidR="00104E16" w:rsidRDefault="00EA32AE">
      <w:pPr>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8.5.1 本合同一式</w:t>
      </w:r>
      <w:r>
        <w:rPr>
          <w:rFonts w:ascii="仿宋_GB2312" w:eastAsia="仿宋_GB2312" w:hAnsi="仿宋_GB2312" w:cs="仿宋_GB2312" w:hint="eastAsia"/>
          <w:color w:val="000000"/>
          <w:sz w:val="32"/>
          <w:szCs w:val="32"/>
          <w:u w:val="single"/>
        </w:rPr>
        <w:t>伍</w:t>
      </w:r>
      <w:r>
        <w:rPr>
          <w:rFonts w:ascii="仿宋_GB2312" w:eastAsia="仿宋_GB2312" w:hAnsi="仿宋_GB2312" w:cs="仿宋_GB2312" w:hint="eastAsia"/>
          <w:color w:val="000000"/>
          <w:sz w:val="32"/>
          <w:szCs w:val="32"/>
        </w:rPr>
        <w:t>份，甲方、乙方、丙方各执</w:t>
      </w:r>
      <w:r>
        <w:rPr>
          <w:rFonts w:ascii="仿宋_GB2312" w:eastAsia="仿宋_GB2312" w:hAnsi="仿宋_GB2312" w:cs="仿宋_GB2312" w:hint="eastAsia"/>
          <w:color w:val="000000"/>
          <w:sz w:val="32"/>
          <w:szCs w:val="32"/>
          <w:u w:val="single"/>
        </w:rPr>
        <w:t>壹</w:t>
      </w:r>
      <w:r>
        <w:rPr>
          <w:rFonts w:ascii="仿宋_GB2312" w:eastAsia="仿宋_GB2312" w:hAnsi="仿宋_GB2312" w:cs="仿宋_GB2312" w:hint="eastAsia"/>
          <w:color w:val="000000"/>
          <w:sz w:val="32"/>
          <w:szCs w:val="32"/>
        </w:rPr>
        <w:t>份，</w:t>
      </w:r>
      <w:r>
        <w:rPr>
          <w:rFonts w:ascii="仿宋_GB2312" w:eastAsia="仿宋_GB2312" w:hint="eastAsia"/>
          <w:snapToGrid w:val="0"/>
          <w:kern w:val="0"/>
          <w:sz w:val="32"/>
        </w:rPr>
        <w:t>由丙方报国家能源局浙江监管办公室，</w:t>
      </w:r>
      <w:proofErr w:type="gramStart"/>
      <w:r>
        <w:rPr>
          <w:rFonts w:ascii="仿宋_GB2312" w:eastAsia="仿宋_GB2312" w:hint="eastAsia"/>
          <w:snapToGrid w:val="0"/>
          <w:kern w:val="0"/>
          <w:sz w:val="32"/>
        </w:rPr>
        <w:t>浙江省发改委</w:t>
      </w:r>
      <w:proofErr w:type="gramEnd"/>
      <w:r>
        <w:rPr>
          <w:rFonts w:ascii="仿宋_GB2312" w:eastAsia="仿宋_GB2312" w:hint="eastAsia"/>
          <w:snapToGrid w:val="0"/>
          <w:kern w:val="0"/>
          <w:sz w:val="32"/>
        </w:rPr>
        <w:t>（能源局）各</w:t>
      </w:r>
      <w:r>
        <w:rPr>
          <w:rFonts w:ascii="仿宋_GB2312" w:eastAsia="仿宋_GB2312" w:hint="eastAsia"/>
          <w:snapToGrid w:val="0"/>
          <w:kern w:val="0"/>
          <w:sz w:val="32"/>
          <w:u w:val="single"/>
        </w:rPr>
        <w:t>壹</w:t>
      </w:r>
      <w:r>
        <w:rPr>
          <w:rFonts w:ascii="仿宋_GB2312" w:eastAsia="仿宋_GB2312" w:hint="eastAsia"/>
          <w:snapToGrid w:val="0"/>
          <w:kern w:val="0"/>
          <w:sz w:val="32"/>
        </w:rPr>
        <w:t>份</w:t>
      </w:r>
      <w:r>
        <w:rPr>
          <w:rFonts w:ascii="仿宋_GB2312" w:eastAsia="仿宋_GB2312" w:hAnsi="仿宋_GB2312" w:cs="仿宋_GB2312" w:hint="eastAsia"/>
          <w:color w:val="000000"/>
          <w:sz w:val="32"/>
          <w:szCs w:val="32"/>
        </w:rPr>
        <w:t>。</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8.5.2 三</w:t>
      </w:r>
      <w:proofErr w:type="gramStart"/>
      <w:r>
        <w:rPr>
          <w:rFonts w:ascii="仿宋_GB2312" w:eastAsia="仿宋_GB2312" w:hAnsi="仿宋_GB2312" w:cs="仿宋_GB2312" w:hint="eastAsia"/>
          <w:color w:val="000000"/>
          <w:sz w:val="32"/>
          <w:szCs w:val="32"/>
        </w:rPr>
        <w:t>方按供用电</w:t>
      </w:r>
      <w:proofErr w:type="gramEnd"/>
      <w:r>
        <w:rPr>
          <w:rFonts w:ascii="仿宋_GB2312" w:eastAsia="仿宋_GB2312" w:hAnsi="仿宋_GB2312" w:cs="仿宋_GB2312" w:hint="eastAsia"/>
          <w:color w:val="000000"/>
          <w:sz w:val="32"/>
          <w:szCs w:val="32"/>
        </w:rPr>
        <w:t>、售电业务流程所形成的申请、批复等书面资料均作为本合同附件，与合同正文具有相同效力。</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color w:val="000000"/>
          <w:sz w:val="32"/>
          <w:szCs w:val="32"/>
        </w:rPr>
        <w:t>8.6甲与乙方已签署的购售电合同，对甲方和乙</w:t>
      </w:r>
      <w:r>
        <w:rPr>
          <w:rFonts w:ascii="仿宋_GB2312" w:eastAsia="仿宋_GB2312" w:hAnsi="仿宋_GB2312" w:cs="仿宋_GB2312" w:hint="eastAsia"/>
          <w:color w:val="000000"/>
          <w:sz w:val="32"/>
          <w:szCs w:val="32"/>
        </w:rPr>
        <w:t>方继续有效，与本合同互为补充。当甲方与乙方已签署的购售电合同与本合同约定内容相抵触的，按本合同约定执行。</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8.7 三方另有如下约定：</w:t>
      </w:r>
    </w:p>
    <w:p w:rsidR="00104E16" w:rsidRDefault="00EA32AE">
      <w:pPr>
        <w:spacing w:line="560" w:lineRule="exact"/>
        <w:ind w:firstLineChars="200" w:firstLine="640"/>
        <w:rPr>
          <w:rFonts w:ascii="仿宋_GB2312" w:eastAsia="仿宋_GB2312" w:hAnsi="仿宋_GB2312" w:cs="仿宋_GB2312"/>
          <w:color w:val="000000"/>
          <w:sz w:val="32"/>
          <w:szCs w:val="32"/>
          <w:u w:val="single"/>
        </w:rPr>
      </w:pPr>
      <w:r>
        <w:rPr>
          <w:rFonts w:ascii="仿宋_GB2312" w:eastAsia="仿宋_GB2312" w:hAnsi="仿宋_GB2312" w:cs="仿宋_GB2312"/>
          <w:color w:val="000000"/>
          <w:sz w:val="32"/>
          <w:szCs w:val="32"/>
          <w:u w:val="single"/>
        </w:rPr>
        <w:t xml:space="preserve">                                                 </w:t>
      </w:r>
    </w:p>
    <w:p w:rsidR="00104E16" w:rsidRDefault="00EA32AE">
      <w:pPr>
        <w:spacing w:line="560" w:lineRule="exact"/>
        <w:rPr>
          <w:rFonts w:ascii="仿宋_GB2312" w:eastAsia="仿宋_GB2312" w:hAnsi="仿宋_GB2312" w:cs="仿宋_GB2312"/>
          <w:color w:val="000000"/>
          <w:sz w:val="32"/>
          <w:szCs w:val="32"/>
          <w:u w:val="single"/>
        </w:rPr>
      </w:pPr>
      <w:r>
        <w:rPr>
          <w:rFonts w:ascii="仿宋_GB2312" w:eastAsia="仿宋_GB2312" w:hAnsi="仿宋_GB2312" w:cs="仿宋_GB2312"/>
          <w:color w:val="000000"/>
          <w:sz w:val="32"/>
          <w:szCs w:val="32"/>
          <w:u w:val="single"/>
        </w:rPr>
        <w:lastRenderedPageBreak/>
        <w:t xml:space="preserve">                                                    </w:t>
      </w:r>
    </w:p>
    <w:p w:rsidR="00104E16" w:rsidRDefault="00EA32A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（以下无正文）</w:t>
      </w:r>
    </w:p>
    <w:p w:rsidR="00104E16" w:rsidRDefault="00EA32AE">
      <w:pPr>
        <w:spacing w:line="560" w:lineRule="exact"/>
        <w:rPr>
          <w:rFonts w:ascii="仿宋_GB2312" w:eastAsia="仿宋_GB2312" w:hAnsi="仿宋_GB2312" w:cs="仿宋_GB2312"/>
          <w:color w:val="000000"/>
          <w:sz w:val="32"/>
          <w:szCs w:val="32"/>
        </w:rPr>
      </w:pPr>
      <w:r>
        <w:rPr>
          <w:rFonts w:hAnsi="宋体" w:cs="宋体" w:hint="eastAsia"/>
          <w:color w:val="000000"/>
          <w:sz w:val="32"/>
          <w:szCs w:val="32"/>
        </w:rPr>
        <w:br w:type="page"/>
      </w:r>
      <w:r>
        <w:rPr>
          <w:rFonts w:ascii="仿宋_GB2312" w:eastAsia="仿宋_GB2312" w:hAnsi="仿宋_GB2312" w:cs="仿宋_GB2312" w:hint="eastAsia"/>
          <w:color w:val="000000"/>
          <w:sz w:val="32"/>
          <w:szCs w:val="32"/>
        </w:rPr>
        <w:lastRenderedPageBreak/>
        <w:t>甲方：（公章）               乙方：（公章）</w:t>
      </w:r>
    </w:p>
    <w:p w:rsidR="00104E16" w:rsidRDefault="00104E16">
      <w:pPr>
        <w:spacing w:line="560" w:lineRule="exact"/>
        <w:rPr>
          <w:rFonts w:ascii="仿宋_GB2312" w:eastAsia="仿宋_GB2312" w:hAnsi="仿宋_GB2312" w:cs="仿宋_GB2312"/>
          <w:color w:val="000000"/>
          <w:sz w:val="32"/>
          <w:szCs w:val="32"/>
        </w:rPr>
      </w:pPr>
    </w:p>
    <w:p w:rsidR="00104E16" w:rsidRDefault="00EA32AE">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签约人：（盖章）               签约人：（盖章）</w:t>
      </w:r>
    </w:p>
    <w:p w:rsidR="00104E16" w:rsidRDefault="00104E16">
      <w:pPr>
        <w:spacing w:line="560" w:lineRule="exact"/>
        <w:rPr>
          <w:rFonts w:ascii="仿宋_GB2312" w:eastAsia="仿宋_GB2312" w:hAnsi="仿宋_GB2312" w:cs="仿宋_GB2312"/>
          <w:color w:val="000000"/>
          <w:sz w:val="32"/>
          <w:szCs w:val="32"/>
        </w:rPr>
      </w:pPr>
    </w:p>
    <w:p w:rsidR="00104E16" w:rsidRDefault="00EA32AE">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签约时间：   年  月  日       签约时间：   年  月  日</w:t>
      </w:r>
    </w:p>
    <w:p w:rsidR="00104E16" w:rsidRDefault="00104E16">
      <w:pPr>
        <w:spacing w:line="560" w:lineRule="exact"/>
        <w:rPr>
          <w:rFonts w:ascii="仿宋_GB2312" w:eastAsia="仿宋_GB2312" w:hAnsi="仿宋_GB2312" w:cs="仿宋_GB2312"/>
          <w:color w:val="000000"/>
          <w:sz w:val="32"/>
          <w:szCs w:val="32"/>
        </w:rPr>
      </w:pPr>
    </w:p>
    <w:p w:rsidR="00104E16" w:rsidRDefault="00104E16">
      <w:pPr>
        <w:spacing w:line="560" w:lineRule="exact"/>
        <w:rPr>
          <w:rFonts w:ascii="仿宋_GB2312" w:eastAsia="仿宋_GB2312" w:hAnsi="仿宋_GB2312" w:cs="仿宋_GB2312"/>
          <w:color w:val="000000"/>
          <w:sz w:val="32"/>
          <w:szCs w:val="32"/>
        </w:rPr>
      </w:pPr>
    </w:p>
    <w:p w:rsidR="00104E16" w:rsidRDefault="00EA32AE">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丙方：（公章）               </w:t>
      </w:r>
    </w:p>
    <w:p w:rsidR="00104E16" w:rsidRDefault="00104E16">
      <w:pPr>
        <w:spacing w:line="560" w:lineRule="exact"/>
        <w:rPr>
          <w:rFonts w:ascii="仿宋_GB2312" w:eastAsia="仿宋_GB2312" w:hAnsi="仿宋_GB2312" w:cs="仿宋_GB2312"/>
          <w:color w:val="000000"/>
          <w:sz w:val="32"/>
          <w:szCs w:val="32"/>
        </w:rPr>
      </w:pPr>
    </w:p>
    <w:p w:rsidR="00104E16" w:rsidRDefault="00EA32AE">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签约人：（盖章）               </w:t>
      </w:r>
    </w:p>
    <w:p w:rsidR="00104E16" w:rsidRDefault="00104E16">
      <w:pPr>
        <w:spacing w:line="560" w:lineRule="exact"/>
        <w:rPr>
          <w:rFonts w:ascii="仿宋_GB2312" w:eastAsia="仿宋_GB2312" w:hAnsi="仿宋_GB2312" w:cs="仿宋_GB2312"/>
          <w:color w:val="000000"/>
          <w:sz w:val="32"/>
          <w:szCs w:val="32"/>
        </w:rPr>
      </w:pPr>
    </w:p>
    <w:p w:rsidR="00104E16" w:rsidRDefault="00EA32AE">
      <w:pPr>
        <w:spacing w:line="560"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签约时间：   年  月  日       </w:t>
      </w:r>
    </w:p>
    <w:p w:rsidR="00104E16" w:rsidRDefault="00104E16">
      <w:pPr>
        <w:spacing w:line="560" w:lineRule="exact"/>
        <w:rPr>
          <w:rFonts w:ascii="宋体" w:hAnsi="宋体" w:cs="宋体"/>
          <w:color w:val="000000"/>
          <w:sz w:val="32"/>
          <w:szCs w:val="32"/>
        </w:rPr>
      </w:pPr>
    </w:p>
    <w:p w:rsidR="00104E16" w:rsidRDefault="00104E16">
      <w:pPr>
        <w:spacing w:line="560" w:lineRule="exact"/>
        <w:ind w:firstLineChars="200" w:firstLine="640"/>
        <w:rPr>
          <w:rFonts w:ascii="宋体" w:hAnsi="宋体" w:cs="宋体"/>
          <w:color w:val="000000"/>
          <w:sz w:val="32"/>
          <w:szCs w:val="32"/>
        </w:rPr>
      </w:pPr>
    </w:p>
    <w:p w:rsidR="00104E16" w:rsidRDefault="00EA32AE">
      <w:pPr>
        <w:spacing w:line="480" w:lineRule="exact"/>
        <w:rPr>
          <w:color w:val="000000"/>
          <w:sz w:val="32"/>
          <w:szCs w:val="32"/>
        </w:rPr>
      </w:pPr>
      <w:r>
        <w:rPr>
          <w:color w:val="000000"/>
          <w:sz w:val="32"/>
          <w:szCs w:val="32"/>
        </w:rPr>
        <w:br w:type="page"/>
      </w:r>
      <w:bookmarkStart w:id="33" w:name="_Toc14461"/>
    </w:p>
    <w:p w:rsidR="00104E16" w:rsidRDefault="00EA32AE">
      <w:pPr>
        <w:spacing w:line="480" w:lineRule="exact"/>
        <w:rPr>
          <w:rFonts w:ascii="黑体" w:eastAsia="黑体" w:hAnsi="Calibri"/>
          <w:b/>
          <w:kern w:val="0"/>
          <w:sz w:val="32"/>
        </w:rPr>
      </w:pPr>
      <w:r>
        <w:rPr>
          <w:rFonts w:ascii="黑体" w:eastAsia="黑体" w:hAnsi="Calibri" w:hint="eastAsia"/>
          <w:b/>
          <w:kern w:val="0"/>
          <w:sz w:val="32"/>
        </w:rPr>
        <w:lastRenderedPageBreak/>
        <w:t>附件</w:t>
      </w:r>
      <w:r w:rsidR="006D5DA2">
        <w:rPr>
          <w:rFonts w:ascii="黑体" w:eastAsia="黑体" w:hAnsi="Calibri" w:hint="eastAsia"/>
          <w:b/>
          <w:kern w:val="0"/>
          <w:sz w:val="32"/>
        </w:rPr>
        <w:t>一</w:t>
      </w:r>
      <w:r>
        <w:rPr>
          <w:rFonts w:ascii="黑体" w:eastAsia="黑体" w:hAnsi="Calibri" w:hint="eastAsia"/>
          <w:b/>
          <w:kern w:val="0"/>
          <w:sz w:val="32"/>
        </w:rPr>
        <w:t>：</w:t>
      </w:r>
      <w:bookmarkEnd w:id="33"/>
    </w:p>
    <w:p w:rsidR="00104E16" w:rsidRDefault="00EA32AE">
      <w:pPr>
        <w:pStyle w:val="1"/>
        <w:jc w:val="center"/>
        <w:rPr>
          <w:rFonts w:hint="default"/>
        </w:rPr>
      </w:pPr>
      <w:bookmarkStart w:id="34" w:name="_Toc21444720"/>
      <w:bookmarkStart w:id="35" w:name="_Toc10610"/>
      <w:r>
        <w:t>合同事项变更确认书</w:t>
      </w:r>
      <w:bookmarkEnd w:id="34"/>
      <w:bookmarkEnd w:id="35"/>
    </w:p>
    <w:p w:rsidR="00104E16" w:rsidRDefault="00104E16">
      <w:pPr>
        <w:spacing w:line="480" w:lineRule="exact"/>
        <w:jc w:val="center"/>
        <w:rPr>
          <w:rFonts w:ascii="仿宋_GB2312" w:eastAsia="仿宋_GB2312"/>
          <w:sz w:val="28"/>
        </w:rPr>
      </w:pPr>
    </w:p>
    <w:tbl>
      <w:tblPr>
        <w:tblW w:w="8653"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92"/>
        <w:gridCol w:w="1201"/>
        <w:gridCol w:w="1251"/>
        <w:gridCol w:w="1499"/>
        <w:gridCol w:w="1499"/>
        <w:gridCol w:w="1569"/>
      </w:tblGrid>
      <w:tr w:rsidR="00104E16" w:rsidTr="00DF13F0">
        <w:trPr>
          <w:trHeight w:val="607"/>
          <w:jc w:val="center"/>
        </w:trPr>
        <w:tc>
          <w:tcPr>
            <w:tcW w:w="642"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序号</w:t>
            </w:r>
          </w:p>
        </w:tc>
        <w:tc>
          <w:tcPr>
            <w:tcW w:w="992"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变更事项</w:t>
            </w:r>
          </w:p>
        </w:tc>
        <w:tc>
          <w:tcPr>
            <w:tcW w:w="1201"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变更前约定</w:t>
            </w:r>
          </w:p>
        </w:tc>
        <w:tc>
          <w:tcPr>
            <w:tcW w:w="1251"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变更后约定</w:t>
            </w:r>
          </w:p>
        </w:tc>
        <w:tc>
          <w:tcPr>
            <w:tcW w:w="1499"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甲方确认</w:t>
            </w:r>
          </w:p>
        </w:tc>
        <w:tc>
          <w:tcPr>
            <w:tcW w:w="1499"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乙方确认</w:t>
            </w:r>
          </w:p>
        </w:tc>
        <w:tc>
          <w:tcPr>
            <w:tcW w:w="1569" w:type="dxa"/>
            <w:vAlign w:val="center"/>
          </w:tcPr>
          <w:p w:rsidR="00104E16" w:rsidRPr="00DF13F0" w:rsidRDefault="00EA32AE">
            <w:pPr>
              <w:spacing w:line="480" w:lineRule="exact"/>
              <w:jc w:val="cente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丙方确认</w:t>
            </w:r>
          </w:p>
        </w:tc>
      </w:tr>
      <w:tr w:rsidR="00104E16" w:rsidTr="00DF13F0">
        <w:trPr>
          <w:trHeight w:val="1985"/>
          <w:jc w:val="center"/>
        </w:trPr>
        <w:tc>
          <w:tcPr>
            <w:tcW w:w="642" w:type="dxa"/>
            <w:vAlign w:val="center"/>
          </w:tcPr>
          <w:p w:rsidR="00104E16" w:rsidRDefault="00EA32AE">
            <w:pPr>
              <w:spacing w:line="480" w:lineRule="exact"/>
              <w:jc w:val="center"/>
              <w:rPr>
                <w:rFonts w:ascii="仿宋" w:eastAsia="仿宋" w:hAnsi="仿宋"/>
                <w:szCs w:val="21"/>
              </w:rPr>
            </w:pPr>
            <w:r>
              <w:rPr>
                <w:rFonts w:ascii="仿宋" w:eastAsia="仿宋" w:hAnsi="仿宋" w:hint="eastAsia"/>
                <w:szCs w:val="21"/>
              </w:rPr>
              <w:t>1</w:t>
            </w:r>
          </w:p>
        </w:tc>
        <w:tc>
          <w:tcPr>
            <w:tcW w:w="992" w:type="dxa"/>
          </w:tcPr>
          <w:p w:rsidR="00104E16" w:rsidRDefault="00104E16">
            <w:pPr>
              <w:spacing w:line="480" w:lineRule="exact"/>
              <w:ind w:leftChars="-51" w:left="-107" w:firstLineChars="51" w:firstLine="107"/>
              <w:jc w:val="center"/>
              <w:rPr>
                <w:rFonts w:ascii="仿宋" w:eastAsia="仿宋" w:hAnsi="仿宋"/>
                <w:szCs w:val="21"/>
              </w:rPr>
            </w:pPr>
          </w:p>
        </w:tc>
        <w:tc>
          <w:tcPr>
            <w:tcW w:w="1201" w:type="dxa"/>
          </w:tcPr>
          <w:p w:rsidR="00104E16" w:rsidRDefault="00104E16">
            <w:pPr>
              <w:spacing w:line="480" w:lineRule="exact"/>
              <w:ind w:hanging="1"/>
              <w:jc w:val="center"/>
              <w:rPr>
                <w:rFonts w:ascii="仿宋" w:eastAsia="仿宋" w:hAnsi="仿宋"/>
                <w:szCs w:val="21"/>
              </w:rPr>
            </w:pPr>
          </w:p>
        </w:tc>
        <w:tc>
          <w:tcPr>
            <w:tcW w:w="1251" w:type="dxa"/>
          </w:tcPr>
          <w:p w:rsidR="00104E16" w:rsidRDefault="00104E16">
            <w:pPr>
              <w:spacing w:line="480" w:lineRule="exact"/>
              <w:ind w:hanging="1"/>
              <w:jc w:val="center"/>
              <w:rPr>
                <w:rFonts w:ascii="仿宋" w:eastAsia="仿宋" w:hAnsi="仿宋"/>
                <w:szCs w:val="21"/>
              </w:rPr>
            </w:pP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56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r>
      <w:tr w:rsidR="00104E16" w:rsidTr="00DF13F0">
        <w:trPr>
          <w:trHeight w:val="1985"/>
          <w:jc w:val="center"/>
        </w:trPr>
        <w:tc>
          <w:tcPr>
            <w:tcW w:w="642" w:type="dxa"/>
            <w:vAlign w:val="center"/>
          </w:tcPr>
          <w:p w:rsidR="00104E16" w:rsidRDefault="00EA32AE">
            <w:pPr>
              <w:spacing w:line="480" w:lineRule="exact"/>
              <w:jc w:val="center"/>
              <w:rPr>
                <w:rFonts w:ascii="仿宋" w:eastAsia="仿宋" w:hAnsi="仿宋"/>
                <w:szCs w:val="21"/>
              </w:rPr>
            </w:pPr>
            <w:r>
              <w:rPr>
                <w:rFonts w:ascii="仿宋" w:eastAsia="仿宋" w:hAnsi="仿宋" w:hint="eastAsia"/>
                <w:szCs w:val="21"/>
              </w:rPr>
              <w:t>2</w:t>
            </w:r>
          </w:p>
        </w:tc>
        <w:tc>
          <w:tcPr>
            <w:tcW w:w="992" w:type="dxa"/>
          </w:tcPr>
          <w:p w:rsidR="00104E16" w:rsidRDefault="00104E16">
            <w:pPr>
              <w:spacing w:line="480" w:lineRule="exact"/>
              <w:ind w:hanging="1"/>
              <w:jc w:val="center"/>
              <w:rPr>
                <w:rFonts w:ascii="仿宋" w:eastAsia="仿宋" w:hAnsi="仿宋"/>
                <w:szCs w:val="21"/>
              </w:rPr>
            </w:pPr>
          </w:p>
        </w:tc>
        <w:tc>
          <w:tcPr>
            <w:tcW w:w="1201" w:type="dxa"/>
          </w:tcPr>
          <w:p w:rsidR="00104E16" w:rsidRDefault="00104E16">
            <w:pPr>
              <w:spacing w:line="480" w:lineRule="exact"/>
              <w:ind w:leftChars="-51" w:left="-107" w:rightChars="-73" w:right="-153"/>
              <w:jc w:val="center"/>
              <w:rPr>
                <w:rFonts w:ascii="仿宋" w:eastAsia="仿宋" w:hAnsi="仿宋"/>
                <w:szCs w:val="21"/>
              </w:rPr>
            </w:pPr>
          </w:p>
        </w:tc>
        <w:tc>
          <w:tcPr>
            <w:tcW w:w="1251" w:type="dxa"/>
          </w:tcPr>
          <w:p w:rsidR="00104E16" w:rsidRDefault="00104E16">
            <w:pPr>
              <w:spacing w:line="480" w:lineRule="exact"/>
              <w:ind w:hanging="1"/>
              <w:jc w:val="center"/>
              <w:rPr>
                <w:rFonts w:ascii="仿宋" w:eastAsia="仿宋" w:hAnsi="仿宋"/>
                <w:szCs w:val="21"/>
              </w:rPr>
            </w:pP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56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r>
      <w:tr w:rsidR="00104E16" w:rsidTr="00DF13F0">
        <w:trPr>
          <w:trHeight w:val="1985"/>
          <w:jc w:val="center"/>
        </w:trPr>
        <w:tc>
          <w:tcPr>
            <w:tcW w:w="642" w:type="dxa"/>
            <w:vAlign w:val="center"/>
          </w:tcPr>
          <w:p w:rsidR="00104E16" w:rsidRDefault="00EA32AE">
            <w:pPr>
              <w:spacing w:line="480" w:lineRule="exact"/>
              <w:jc w:val="center"/>
              <w:rPr>
                <w:rFonts w:ascii="仿宋" w:eastAsia="仿宋" w:hAnsi="仿宋"/>
                <w:szCs w:val="21"/>
              </w:rPr>
            </w:pPr>
            <w:r>
              <w:rPr>
                <w:rFonts w:ascii="仿宋" w:eastAsia="仿宋" w:hAnsi="仿宋" w:hint="eastAsia"/>
                <w:szCs w:val="21"/>
              </w:rPr>
              <w:t>3</w:t>
            </w:r>
          </w:p>
        </w:tc>
        <w:tc>
          <w:tcPr>
            <w:tcW w:w="992" w:type="dxa"/>
          </w:tcPr>
          <w:p w:rsidR="00104E16" w:rsidRDefault="00104E16">
            <w:pPr>
              <w:spacing w:line="480" w:lineRule="exact"/>
              <w:ind w:hanging="1"/>
              <w:jc w:val="center"/>
              <w:rPr>
                <w:rFonts w:ascii="仿宋" w:eastAsia="仿宋" w:hAnsi="仿宋"/>
                <w:szCs w:val="21"/>
              </w:rPr>
            </w:pPr>
          </w:p>
        </w:tc>
        <w:tc>
          <w:tcPr>
            <w:tcW w:w="1201" w:type="dxa"/>
          </w:tcPr>
          <w:p w:rsidR="00104E16" w:rsidRDefault="00104E16">
            <w:pPr>
              <w:spacing w:line="480" w:lineRule="exact"/>
              <w:ind w:hanging="1"/>
              <w:jc w:val="center"/>
              <w:rPr>
                <w:rFonts w:ascii="仿宋" w:eastAsia="仿宋" w:hAnsi="仿宋"/>
                <w:szCs w:val="21"/>
              </w:rPr>
            </w:pPr>
          </w:p>
        </w:tc>
        <w:tc>
          <w:tcPr>
            <w:tcW w:w="1251" w:type="dxa"/>
          </w:tcPr>
          <w:p w:rsidR="00104E16" w:rsidRDefault="00104E16">
            <w:pPr>
              <w:spacing w:line="480" w:lineRule="exact"/>
              <w:ind w:hanging="1"/>
              <w:jc w:val="center"/>
              <w:rPr>
                <w:rFonts w:ascii="仿宋" w:eastAsia="仿宋" w:hAnsi="仿宋"/>
                <w:szCs w:val="21"/>
              </w:rPr>
            </w:pP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56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r>
      <w:tr w:rsidR="00104E16" w:rsidTr="00DF13F0">
        <w:trPr>
          <w:trHeight w:val="1985"/>
          <w:jc w:val="center"/>
        </w:trPr>
        <w:tc>
          <w:tcPr>
            <w:tcW w:w="642" w:type="dxa"/>
            <w:vAlign w:val="center"/>
          </w:tcPr>
          <w:p w:rsidR="00104E16" w:rsidRDefault="00EA32AE">
            <w:pPr>
              <w:spacing w:line="480" w:lineRule="exact"/>
              <w:jc w:val="center"/>
              <w:rPr>
                <w:rFonts w:ascii="仿宋" w:eastAsia="仿宋" w:hAnsi="仿宋"/>
                <w:szCs w:val="21"/>
              </w:rPr>
            </w:pPr>
            <w:r>
              <w:rPr>
                <w:rFonts w:ascii="仿宋" w:eastAsia="仿宋" w:hAnsi="仿宋" w:hint="eastAsia"/>
                <w:szCs w:val="21"/>
              </w:rPr>
              <w:t>4</w:t>
            </w:r>
          </w:p>
        </w:tc>
        <w:tc>
          <w:tcPr>
            <w:tcW w:w="992" w:type="dxa"/>
          </w:tcPr>
          <w:p w:rsidR="00104E16" w:rsidRDefault="00104E16">
            <w:pPr>
              <w:spacing w:line="480" w:lineRule="exact"/>
              <w:ind w:hanging="1"/>
              <w:jc w:val="center"/>
              <w:rPr>
                <w:rFonts w:ascii="仿宋" w:eastAsia="仿宋" w:hAnsi="仿宋"/>
                <w:szCs w:val="21"/>
              </w:rPr>
            </w:pPr>
          </w:p>
        </w:tc>
        <w:tc>
          <w:tcPr>
            <w:tcW w:w="1201" w:type="dxa"/>
          </w:tcPr>
          <w:p w:rsidR="00104E16" w:rsidRDefault="00104E16">
            <w:pPr>
              <w:spacing w:line="480" w:lineRule="exact"/>
              <w:ind w:hanging="1"/>
              <w:jc w:val="center"/>
              <w:rPr>
                <w:rFonts w:ascii="仿宋" w:eastAsia="仿宋" w:hAnsi="仿宋"/>
                <w:szCs w:val="21"/>
              </w:rPr>
            </w:pPr>
          </w:p>
        </w:tc>
        <w:tc>
          <w:tcPr>
            <w:tcW w:w="1251" w:type="dxa"/>
          </w:tcPr>
          <w:p w:rsidR="00104E16" w:rsidRDefault="00104E16">
            <w:pPr>
              <w:spacing w:line="480" w:lineRule="exact"/>
              <w:ind w:hanging="1"/>
              <w:jc w:val="center"/>
              <w:rPr>
                <w:rFonts w:ascii="仿宋" w:eastAsia="仿宋" w:hAnsi="仿宋"/>
                <w:szCs w:val="21"/>
              </w:rPr>
            </w:pP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56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r>
      <w:tr w:rsidR="00104E16" w:rsidTr="00DF13F0">
        <w:trPr>
          <w:trHeight w:val="1985"/>
          <w:jc w:val="center"/>
        </w:trPr>
        <w:tc>
          <w:tcPr>
            <w:tcW w:w="642" w:type="dxa"/>
            <w:vAlign w:val="center"/>
          </w:tcPr>
          <w:p w:rsidR="00104E16" w:rsidRDefault="00EA32AE">
            <w:pPr>
              <w:spacing w:line="480" w:lineRule="exact"/>
              <w:jc w:val="center"/>
              <w:rPr>
                <w:rFonts w:ascii="仿宋" w:eastAsia="仿宋" w:hAnsi="仿宋"/>
                <w:szCs w:val="21"/>
              </w:rPr>
            </w:pPr>
            <w:r>
              <w:rPr>
                <w:rFonts w:ascii="仿宋" w:eastAsia="仿宋" w:hAnsi="仿宋" w:hint="eastAsia"/>
                <w:szCs w:val="21"/>
              </w:rPr>
              <w:t>5</w:t>
            </w:r>
          </w:p>
        </w:tc>
        <w:tc>
          <w:tcPr>
            <w:tcW w:w="992" w:type="dxa"/>
          </w:tcPr>
          <w:p w:rsidR="00104E16" w:rsidRDefault="00104E16">
            <w:pPr>
              <w:spacing w:line="480" w:lineRule="exact"/>
              <w:ind w:hanging="1"/>
              <w:jc w:val="center"/>
              <w:rPr>
                <w:rFonts w:ascii="仿宋" w:eastAsia="仿宋" w:hAnsi="仿宋"/>
                <w:szCs w:val="21"/>
              </w:rPr>
            </w:pPr>
          </w:p>
        </w:tc>
        <w:tc>
          <w:tcPr>
            <w:tcW w:w="1201" w:type="dxa"/>
          </w:tcPr>
          <w:p w:rsidR="00104E16" w:rsidRDefault="00104E16">
            <w:pPr>
              <w:spacing w:line="480" w:lineRule="exact"/>
              <w:ind w:hanging="1"/>
              <w:jc w:val="center"/>
              <w:rPr>
                <w:rFonts w:ascii="仿宋" w:eastAsia="仿宋" w:hAnsi="仿宋"/>
                <w:szCs w:val="21"/>
              </w:rPr>
            </w:pPr>
          </w:p>
        </w:tc>
        <w:tc>
          <w:tcPr>
            <w:tcW w:w="1251" w:type="dxa"/>
          </w:tcPr>
          <w:p w:rsidR="00104E16" w:rsidRDefault="00104E16">
            <w:pPr>
              <w:spacing w:line="480" w:lineRule="exact"/>
              <w:ind w:hanging="1"/>
              <w:jc w:val="center"/>
              <w:rPr>
                <w:rFonts w:ascii="仿宋" w:eastAsia="仿宋" w:hAnsi="仿宋"/>
                <w:szCs w:val="21"/>
              </w:rPr>
            </w:pP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49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c>
          <w:tcPr>
            <w:tcW w:w="1569" w:type="dxa"/>
          </w:tcPr>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（签）章</w:t>
            </w:r>
          </w:p>
          <w:p w:rsidR="00104E16" w:rsidRPr="00DF13F0" w:rsidRDefault="00104E16" w:rsidP="00DF13F0">
            <w:pPr>
              <w:spacing w:line="480" w:lineRule="exact"/>
              <w:jc w:val="center"/>
              <w:rPr>
                <w:rFonts w:ascii="仿宋_GB2312" w:eastAsia="仿宋_GB2312" w:hAnsi="仿宋_GB2312" w:cs="仿宋_GB2312"/>
                <w:color w:val="000000"/>
                <w:szCs w:val="21"/>
              </w:rPr>
            </w:pPr>
          </w:p>
          <w:p w:rsidR="00104E16" w:rsidRPr="00DF13F0" w:rsidRDefault="00EA32AE" w:rsidP="00DF13F0">
            <w:pPr>
              <w:spacing w:line="480" w:lineRule="exact"/>
              <w:jc w:val="center"/>
              <w:rPr>
                <w:rFonts w:ascii="仿宋_GB2312" w:eastAsia="仿宋_GB2312" w:hAnsi="仿宋_GB2312" w:cs="仿宋_GB2312"/>
                <w:color w:val="000000"/>
                <w:szCs w:val="21"/>
              </w:rPr>
            </w:pPr>
            <w:r w:rsidRPr="00DF13F0">
              <w:rPr>
                <w:rFonts w:ascii="仿宋_GB2312" w:eastAsia="仿宋_GB2312" w:hAnsi="仿宋_GB2312" w:cs="仿宋_GB2312" w:hint="eastAsia"/>
                <w:color w:val="000000"/>
                <w:szCs w:val="21"/>
              </w:rPr>
              <w:t xml:space="preserve">  年  月  日</w:t>
            </w:r>
          </w:p>
        </w:tc>
      </w:tr>
    </w:tbl>
    <w:p w:rsidR="006D5DA2" w:rsidRDefault="006D5DA2" w:rsidP="006D5DA2">
      <w:pPr>
        <w:spacing w:line="480" w:lineRule="exact"/>
        <w:rPr>
          <w:rFonts w:ascii="黑体" w:eastAsia="黑体" w:hAnsi="Calibri"/>
          <w:b/>
          <w:kern w:val="0"/>
          <w:sz w:val="32"/>
        </w:rPr>
      </w:pPr>
      <w:r>
        <w:rPr>
          <w:rFonts w:ascii="黑体" w:eastAsia="黑体" w:hAnsi="Calibri" w:hint="eastAsia"/>
          <w:b/>
          <w:kern w:val="0"/>
          <w:sz w:val="32"/>
        </w:rPr>
        <w:lastRenderedPageBreak/>
        <w:t>附件二：</w:t>
      </w:r>
    </w:p>
    <w:p w:rsidR="00DF13F0" w:rsidRDefault="00DF13F0" w:rsidP="006D5DA2">
      <w:pPr>
        <w:spacing w:line="480" w:lineRule="exact"/>
        <w:rPr>
          <w:rFonts w:ascii="黑体" w:eastAsia="黑体" w:hAnsi="Calibri"/>
          <w:b/>
          <w:kern w:val="0"/>
          <w:sz w:val="32"/>
        </w:rPr>
      </w:pPr>
    </w:p>
    <w:p w:rsidR="006D5DA2" w:rsidRPr="00DF13F0" w:rsidRDefault="005D5F25" w:rsidP="00DF13F0">
      <w:pPr>
        <w:pStyle w:val="1"/>
        <w:jc w:val="center"/>
        <w:rPr>
          <w:rFonts w:hint="default"/>
        </w:rPr>
      </w:pPr>
      <w:r w:rsidRPr="00DF13F0">
        <w:t>零售用户</w:t>
      </w:r>
      <w:proofErr w:type="gramStart"/>
      <w:r w:rsidRPr="00DF13F0">
        <w:t>户</w:t>
      </w:r>
      <w:proofErr w:type="gramEnd"/>
      <w:r w:rsidRPr="00DF13F0">
        <w:t>号等相关信息</w:t>
      </w:r>
    </w:p>
    <w:p w:rsidR="005D5F25" w:rsidRDefault="005D5F25" w:rsidP="006D5DA2">
      <w:pPr>
        <w:spacing w:line="480" w:lineRule="exact"/>
        <w:rPr>
          <w:rFonts w:ascii="黑体" w:eastAsia="黑体" w:hAnsi="Calibri"/>
          <w:b/>
          <w:kern w:val="0"/>
          <w:sz w:val="32"/>
        </w:rPr>
      </w:pPr>
    </w:p>
    <w:tbl>
      <w:tblPr>
        <w:tblStyle w:val="a8"/>
        <w:tblW w:w="0" w:type="auto"/>
        <w:tblInd w:w="-34" w:type="dxa"/>
        <w:tblLook w:val="04A0" w:firstRow="1" w:lastRow="0" w:firstColumn="1" w:lastColumn="0" w:noHBand="0" w:noVBand="1"/>
      </w:tblPr>
      <w:tblGrid>
        <w:gridCol w:w="2269"/>
        <w:gridCol w:w="2268"/>
        <w:gridCol w:w="2463"/>
        <w:gridCol w:w="2322"/>
      </w:tblGrid>
      <w:tr w:rsidR="00DF13F0" w:rsidTr="00DF13F0">
        <w:trPr>
          <w:trHeight w:val="567"/>
        </w:trPr>
        <w:tc>
          <w:tcPr>
            <w:tcW w:w="2269" w:type="dxa"/>
            <w:vAlign w:val="center"/>
          </w:tcPr>
          <w:p w:rsidR="00DF13F0" w:rsidRPr="00DF13F0" w:rsidRDefault="00DF13F0" w:rsidP="00DF13F0">
            <w:pPr>
              <w:ind w:firstLineChars="100" w:firstLine="320"/>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零售用户</w:t>
            </w:r>
          </w:p>
        </w:tc>
        <w:tc>
          <w:tcPr>
            <w:tcW w:w="2268" w:type="dxa"/>
            <w:vAlign w:val="center"/>
          </w:tcPr>
          <w:p w:rsidR="00DF13F0" w:rsidRPr="00DF13F0" w:rsidRDefault="00DF13F0" w:rsidP="00DF13F0">
            <w:pPr>
              <w:ind w:firstLineChars="100" w:firstLine="320"/>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用电户号</w:t>
            </w:r>
          </w:p>
        </w:tc>
        <w:tc>
          <w:tcPr>
            <w:tcW w:w="2463" w:type="dxa"/>
            <w:vAlign w:val="center"/>
          </w:tcPr>
          <w:p w:rsidR="00DF13F0" w:rsidRPr="00DF13F0" w:rsidRDefault="00DF13F0" w:rsidP="00DF13F0">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sidRPr="00DF13F0">
              <w:rPr>
                <w:rFonts w:ascii="仿宋_GB2312" w:eastAsia="仿宋_GB2312" w:hAnsi="仿宋_GB2312" w:cs="仿宋_GB2312" w:hint="eastAsia"/>
                <w:color w:val="000000"/>
                <w:sz w:val="32"/>
                <w:szCs w:val="32"/>
              </w:rPr>
              <w:t>计量表计编号</w:t>
            </w:r>
          </w:p>
        </w:tc>
        <w:tc>
          <w:tcPr>
            <w:tcW w:w="2322" w:type="dxa"/>
            <w:vAlign w:val="center"/>
          </w:tcPr>
          <w:p w:rsidR="00DF13F0" w:rsidRPr="00DF13F0" w:rsidRDefault="00DF13F0" w:rsidP="00DF13F0">
            <w:pPr>
              <w:rPr>
                <w:rFonts w:ascii="仿宋_GB2312" w:eastAsia="仿宋_GB2312" w:hAnsi="仿宋_GB2312" w:cs="仿宋_GB2312"/>
                <w:color w:val="000000"/>
                <w:sz w:val="32"/>
                <w:szCs w:val="32"/>
              </w:rPr>
            </w:pPr>
            <w:r w:rsidRPr="00DF13F0">
              <w:rPr>
                <w:rFonts w:ascii="仿宋_GB2312" w:eastAsia="仿宋_GB2312" w:hAnsi="仿宋_GB2312" w:cs="仿宋_GB2312" w:hint="eastAsia"/>
                <w:color w:val="000000"/>
                <w:sz w:val="32"/>
                <w:szCs w:val="32"/>
              </w:rPr>
              <w:t>关联供用电合同编号</w:t>
            </w:r>
          </w:p>
        </w:tc>
      </w:tr>
      <w:tr w:rsidR="00DF13F0" w:rsidTr="00DF13F0">
        <w:trPr>
          <w:trHeight w:val="567"/>
        </w:trPr>
        <w:tc>
          <w:tcPr>
            <w:tcW w:w="2269" w:type="dxa"/>
            <w:vMerge w:val="restart"/>
          </w:tcPr>
          <w:p w:rsidR="00DF13F0" w:rsidRDefault="00DF13F0"/>
        </w:tc>
        <w:tc>
          <w:tcPr>
            <w:tcW w:w="2268" w:type="dxa"/>
          </w:tcPr>
          <w:p w:rsidR="00DF13F0" w:rsidRDefault="00DF13F0"/>
        </w:tc>
        <w:tc>
          <w:tcPr>
            <w:tcW w:w="2463" w:type="dxa"/>
          </w:tcPr>
          <w:p w:rsidR="00DF13F0" w:rsidRDefault="00DF13F0"/>
        </w:tc>
        <w:tc>
          <w:tcPr>
            <w:tcW w:w="2322" w:type="dxa"/>
          </w:tcPr>
          <w:p w:rsidR="00DF13F0" w:rsidRDefault="00DF13F0"/>
        </w:tc>
      </w:tr>
      <w:tr w:rsidR="00DF13F0" w:rsidTr="00DF13F0">
        <w:trPr>
          <w:trHeight w:val="567"/>
        </w:trPr>
        <w:tc>
          <w:tcPr>
            <w:tcW w:w="2269" w:type="dxa"/>
            <w:vMerge/>
          </w:tcPr>
          <w:p w:rsidR="00DF13F0" w:rsidRDefault="00DF13F0"/>
        </w:tc>
        <w:tc>
          <w:tcPr>
            <w:tcW w:w="2268" w:type="dxa"/>
          </w:tcPr>
          <w:p w:rsidR="00DF13F0" w:rsidRDefault="00DF13F0"/>
        </w:tc>
        <w:tc>
          <w:tcPr>
            <w:tcW w:w="2463" w:type="dxa"/>
          </w:tcPr>
          <w:p w:rsidR="00DF13F0" w:rsidRDefault="00DF13F0"/>
        </w:tc>
        <w:tc>
          <w:tcPr>
            <w:tcW w:w="2322" w:type="dxa"/>
          </w:tcPr>
          <w:p w:rsidR="00DF13F0" w:rsidRDefault="00DF13F0"/>
        </w:tc>
      </w:tr>
      <w:tr w:rsidR="00DF13F0" w:rsidTr="00DF13F0">
        <w:trPr>
          <w:trHeight w:val="567"/>
        </w:trPr>
        <w:tc>
          <w:tcPr>
            <w:tcW w:w="2269" w:type="dxa"/>
            <w:vMerge/>
          </w:tcPr>
          <w:p w:rsidR="00DF13F0" w:rsidRDefault="00DF13F0"/>
        </w:tc>
        <w:tc>
          <w:tcPr>
            <w:tcW w:w="2268" w:type="dxa"/>
          </w:tcPr>
          <w:p w:rsidR="00DF13F0" w:rsidRDefault="00DF13F0"/>
        </w:tc>
        <w:tc>
          <w:tcPr>
            <w:tcW w:w="2463" w:type="dxa"/>
          </w:tcPr>
          <w:p w:rsidR="00DF13F0" w:rsidRDefault="00DF13F0"/>
        </w:tc>
        <w:tc>
          <w:tcPr>
            <w:tcW w:w="2322" w:type="dxa"/>
          </w:tcPr>
          <w:p w:rsidR="00DF13F0" w:rsidRDefault="00DF13F0"/>
        </w:tc>
      </w:tr>
      <w:tr w:rsidR="00DF13F0" w:rsidTr="00DF13F0">
        <w:trPr>
          <w:trHeight w:val="567"/>
        </w:trPr>
        <w:tc>
          <w:tcPr>
            <w:tcW w:w="2269" w:type="dxa"/>
            <w:vMerge/>
          </w:tcPr>
          <w:p w:rsidR="00DF13F0" w:rsidRDefault="00DF13F0"/>
        </w:tc>
        <w:tc>
          <w:tcPr>
            <w:tcW w:w="2268" w:type="dxa"/>
          </w:tcPr>
          <w:p w:rsidR="00DF13F0" w:rsidRDefault="00DF13F0"/>
        </w:tc>
        <w:tc>
          <w:tcPr>
            <w:tcW w:w="2463" w:type="dxa"/>
          </w:tcPr>
          <w:p w:rsidR="00DF13F0" w:rsidRDefault="00DF13F0"/>
        </w:tc>
        <w:tc>
          <w:tcPr>
            <w:tcW w:w="2322" w:type="dxa"/>
          </w:tcPr>
          <w:p w:rsidR="00DF13F0" w:rsidRDefault="00DF13F0"/>
        </w:tc>
      </w:tr>
      <w:tr w:rsidR="00DF13F0" w:rsidTr="00DF13F0">
        <w:trPr>
          <w:trHeight w:val="567"/>
        </w:trPr>
        <w:tc>
          <w:tcPr>
            <w:tcW w:w="2269" w:type="dxa"/>
            <w:vMerge/>
          </w:tcPr>
          <w:p w:rsidR="00DF13F0" w:rsidRDefault="00DF13F0"/>
        </w:tc>
        <w:tc>
          <w:tcPr>
            <w:tcW w:w="2268" w:type="dxa"/>
          </w:tcPr>
          <w:p w:rsidR="00DF13F0" w:rsidRDefault="00DF13F0"/>
        </w:tc>
        <w:tc>
          <w:tcPr>
            <w:tcW w:w="2463" w:type="dxa"/>
          </w:tcPr>
          <w:p w:rsidR="00DF13F0" w:rsidRDefault="00DF13F0"/>
        </w:tc>
        <w:tc>
          <w:tcPr>
            <w:tcW w:w="2322" w:type="dxa"/>
          </w:tcPr>
          <w:p w:rsidR="00DF13F0" w:rsidRDefault="00DF13F0"/>
        </w:tc>
      </w:tr>
    </w:tbl>
    <w:p w:rsidR="00104E16" w:rsidRDefault="00104E16"/>
    <w:sectPr w:rsidR="00104E16">
      <w:footerReference w:type="default" r:id="rId12"/>
      <w:footerReference w:type="first" r:id="rId13"/>
      <w:pgSz w:w="11906" w:h="16838"/>
      <w:pgMar w:top="1440" w:right="1417" w:bottom="1440" w:left="1417" w:header="851" w:footer="992" w:gutter="0"/>
      <w:pgNumType w:start="1"/>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4AF" w:rsidRDefault="001464AF">
      <w:r>
        <w:separator/>
      </w:r>
    </w:p>
  </w:endnote>
  <w:endnote w:type="continuationSeparator" w:id="0">
    <w:p w:rsidR="001464AF" w:rsidRDefault="0014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E16" w:rsidRDefault="00EA32AE">
    <w:pPr>
      <w:pStyle w:val="a5"/>
    </w:pPr>
    <w:r>
      <w:rPr>
        <w:noProof/>
      </w:rPr>
      <mc:AlternateContent>
        <mc:Choice Requires="wps">
          <w:drawing>
            <wp:anchor distT="0" distB="0" distL="114300" distR="114300" simplePos="0" relativeHeight="251659264" behindDoc="0" locked="0" layoutInCell="1" allowOverlap="1" wp14:anchorId="57CB9E7C" wp14:editId="398BF029">
              <wp:simplePos x="0" y="0"/>
              <wp:positionH relativeFrom="margin">
                <wp:align>center</wp:align>
              </wp:positionH>
              <wp:positionV relativeFrom="paragraph">
                <wp:posOffset>0</wp:posOffset>
              </wp:positionV>
              <wp:extent cx="1828800" cy="1828800"/>
              <wp:effectExtent l="0" t="0" r="0" b="0"/>
              <wp:wrapNone/>
              <wp:docPr id="5" name="Text Box 1025"/>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ln>
                    </wps:spPr>
                    <wps:txbx>
                      <w:txbxContent>
                        <w:p w:rsidR="00104E16" w:rsidRDefault="00104E16">
                          <w:pPr>
                            <w:pStyle w:val="a5"/>
                          </w:pP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" filled="f" stroked="f">
              <v:textbox style="mso-fit-shape-to-text:t" inset="0,0,0,0">
                <w:txbxContent>
                  <w:p w:rsidR="00104E16" w:rsidRDefault="00104E16">
                    <w:pPr>
                      <w:pStyle w:val="a5"/>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E16" w:rsidRDefault="00EA32AE">
    <w:pPr>
      <w:pStyle w:val="a5"/>
      <w:jc w:val="center"/>
    </w:pPr>
    <w:r>
      <w:rPr>
        <w:noProof/>
      </w:rPr>
      <mc:AlternateContent>
        <mc:Choice Requires="wps">
          <w:drawing>
            <wp:anchor distT="0" distB="0" distL="114300" distR="114300" simplePos="0" relativeHeight="251660288" behindDoc="0" locked="0" layoutInCell="1" allowOverlap="1" wp14:anchorId="00C66AD8" wp14:editId="56FD8841">
              <wp:simplePos x="0" y="0"/>
              <wp:positionH relativeFrom="margin">
                <wp:align>center</wp:align>
              </wp:positionH>
              <wp:positionV relativeFrom="paragraph">
                <wp:posOffset>0</wp:posOffset>
              </wp:positionV>
              <wp:extent cx="1828800" cy="1828800"/>
              <wp:effectExtent l="0" t="0" r="0" b="0"/>
              <wp:wrapNone/>
              <wp:docPr id="4" name="Text Box 1027"/>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ln>
                    </wps:spPr>
                    <wps:txbx>
                      <w:txbxContent>
                        <w:p w:rsidR="00104E16" w:rsidRDefault="00EA32AE">
                          <w:pPr>
                            <w:pStyle w:val="a5"/>
                            <w:jc w:val="center"/>
                          </w:pPr>
                          <w:r>
                            <w:fldChar w:fldCharType="begin"/>
                          </w:r>
                          <w:r>
                            <w:instrText xml:space="preserve"> PAGE   \* MERGEFORMAT </w:instrText>
                          </w:r>
                          <w:r>
                            <w:fldChar w:fldCharType="separate"/>
                          </w:r>
                          <w:r>
                            <w:rPr>
                              <w:lang w:val="zh-CN"/>
                            </w:rPr>
                            <w:t>2</w:t>
                          </w:r>
                          <w:r>
                            <w:rPr>
                              <w:lang w:val="zh-CN"/>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7"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AJFs3/ygEAAI8DAAAOAAAAAAAAAAAAAAAA&#10;AC4CAABkcnMvZTJvRG9jLnhtbFBLAQItABQABgAIAAAAIQAMSvDu1gAAAAUBAAAPAAAAAAAAAAAA&#10;AAAAACQEAABkcnMvZG93bnJldi54bWxQSwUGAAAAAAQABADzAAAAJwUAAAAA&#10;" filled="f" stroked="f">
              <v:textbox style="mso-fit-shape-to-text:t" inset="0,0,0,0">
                <w:txbxContent>
                  <w:p w:rsidR="00104E16" w:rsidRDefault="00EA32AE">
                    <w:pPr>
                      <w:pStyle w:val="a5"/>
                      <w:jc w:val="center"/>
                    </w:pPr>
                    <w:r>
                      <w:fldChar w:fldCharType="begin"/>
                    </w:r>
                    <w:r>
                      <w:instrText xml:space="preserve"> PAGE   \* MERGEFORMAT </w:instrText>
                    </w:r>
                    <w:r>
                      <w:fldChar w:fldCharType="separate"/>
                    </w:r>
                    <w:r>
                      <w:rPr>
                        <w:lang w:val="zh-CN"/>
                      </w:rPr>
                      <w:t>2</w:t>
                    </w:r>
                    <w:r>
                      <w:rPr>
                        <w:lang w:val="zh-CN"/>
                      </w:rPr>
                      <w:fldChar w:fldCharType="end"/>
                    </w:r>
                  </w:p>
                </w:txbxContent>
              </v:textbox>
              <w10:wrap anchorx="margin"/>
            </v:shape>
          </w:pict>
        </mc:Fallback>
      </mc:AlternateContent>
    </w:r>
  </w:p>
  <w:p w:rsidR="00104E16" w:rsidRDefault="00104E1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E16" w:rsidRDefault="00EA32AE">
    <w:pPr>
      <w:pStyle w:val="a5"/>
    </w:pPr>
    <w:r>
      <w:rPr>
        <w:noProof/>
      </w:rPr>
      <mc:AlternateContent>
        <mc:Choice Requires="wps">
          <w:drawing>
            <wp:anchor distT="0" distB="0" distL="114300" distR="114300" simplePos="0" relativeHeight="251662336" behindDoc="0" locked="0" layoutInCell="1" allowOverlap="1" wp14:anchorId="576110C3" wp14:editId="41CCE467">
              <wp:simplePos x="0" y="0"/>
              <wp:positionH relativeFrom="margin">
                <wp:align>center</wp:align>
              </wp:positionH>
              <wp:positionV relativeFrom="paragraph">
                <wp:posOffset>0</wp:posOffset>
              </wp:positionV>
              <wp:extent cx="1828800" cy="1828800"/>
              <wp:effectExtent l="0" t="0" r="0" b="0"/>
              <wp:wrapNone/>
              <wp:docPr id="3" name="Text Box 1026"/>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ln>
                    </wps:spPr>
                    <wps:txbx>
                      <w:txbxContent>
                        <w:p w:rsidR="00104E16" w:rsidRDefault="00104E16">
                          <w:pPr>
                            <w:pStyle w:val="a5"/>
                          </w:pP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6" o:spid="_x0000_s1028"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EoNegjMAQAAjwMAAA4AAAAAAAAAAAAA&#10;AAAALgIAAGRycy9lMm9Eb2MueG1sUEsBAi0AFAAGAAgAAAAhAAxK8O7WAAAABQEAAA8AAAAAAAAA&#10;AAAAAAAAJgQAAGRycy9kb3ducmV2LnhtbFBLBQYAAAAABAAEAPMAAAApBQAAAAA=&#10;" filled="f" stroked="f">
              <v:textbox style="mso-fit-shape-to-text:t" inset="0,0,0,0">
                <w:txbxContent>
                  <w:p w:rsidR="00104E16" w:rsidRDefault="00104E16">
                    <w:pPr>
                      <w:pStyle w:val="a5"/>
                    </w:pP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E16" w:rsidRDefault="00EA32AE">
    <w:pPr>
      <w:pStyle w:val="a5"/>
      <w:jc w:val="center"/>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Text Box 1029"/>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ln>
                    </wps:spPr>
                    <wps:txbx>
                      <w:txbxContent>
                        <w:p w:rsidR="00104E16" w:rsidRDefault="00EA32AE">
                          <w:pPr>
                            <w:pStyle w:val="a5"/>
                            <w:jc w:val="center"/>
                          </w:pPr>
                          <w:r>
                            <w:fldChar w:fldCharType="begin"/>
                          </w:r>
                          <w:r>
                            <w:instrText xml:space="preserve"> PAGE   \* MERGEFORMAT </w:instrText>
                          </w:r>
                          <w:r>
                            <w:fldChar w:fldCharType="separate"/>
                          </w:r>
                          <w:r w:rsidR="00AD571C" w:rsidRPr="00AD571C">
                            <w:rPr>
                              <w:noProof/>
                              <w:lang w:val="zh-CN"/>
                            </w:rPr>
                            <w:t>19</w:t>
                          </w:r>
                          <w:r>
                            <w:rPr>
                              <w:lang w:val="zh-CN"/>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9" o:spid="_x0000_s1029"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HvAB3bMAQAAjwMAAA4AAAAAAAAAAAAA&#10;AAAALgIAAGRycy9lMm9Eb2MueG1sUEsBAi0AFAAGAAgAAAAhAAxK8O7WAAAABQEAAA8AAAAAAAAA&#10;AAAAAAAAJgQAAGRycy9kb3ducmV2LnhtbFBLBQYAAAAABAAEAPMAAAApBQAAAAA=&#10;" filled="f" stroked="f">
              <v:textbox style="mso-fit-shape-to-text:t" inset="0,0,0,0">
                <w:txbxContent>
                  <w:p w:rsidR="00104E16" w:rsidRDefault="00EA32AE">
                    <w:pPr>
                      <w:pStyle w:val="a5"/>
                      <w:jc w:val="center"/>
                    </w:pPr>
                    <w:r>
                      <w:fldChar w:fldCharType="begin"/>
                    </w:r>
                    <w:r>
                      <w:instrText xml:space="preserve"> PAGE   \* MERGEFORMAT </w:instrText>
                    </w:r>
                    <w:r>
                      <w:fldChar w:fldCharType="separate"/>
                    </w:r>
                    <w:r w:rsidR="00AD571C" w:rsidRPr="00AD571C">
                      <w:rPr>
                        <w:noProof/>
                        <w:lang w:val="zh-CN"/>
                      </w:rPr>
                      <w:t>19</w:t>
                    </w:r>
                    <w:r>
                      <w:rPr>
                        <w:lang w:val="zh-CN"/>
                      </w:rPr>
                      <w:fldChar w:fldCharType="end"/>
                    </w:r>
                  </w:p>
                </w:txbxContent>
              </v:textbox>
              <w10:wrap anchorx="margin"/>
            </v:shape>
          </w:pict>
        </mc:Fallback>
      </mc:AlternateContent>
    </w:r>
  </w:p>
  <w:p w:rsidR="00104E16" w:rsidRDefault="00104E16">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E16" w:rsidRDefault="00EA32AE">
    <w:pPr>
      <w:pStyle w:val="a5"/>
    </w:pPr>
    <w:r>
      <w:rPr>
        <w:noProof/>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028"/>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ln>
                    </wps:spPr>
                    <wps:txbx>
                      <w:txbxContent>
                        <w:p w:rsidR="00104E16" w:rsidRDefault="00EA32AE">
                          <w:pPr>
                            <w:pStyle w:val="a5"/>
                          </w:pPr>
                          <w:r>
                            <w:rPr>
                              <w:rFonts w:hint="eastAsia"/>
                            </w:rPr>
                            <w:fldChar w:fldCharType="begin"/>
                          </w:r>
                          <w:r>
                            <w:rPr>
                              <w:rFonts w:hint="eastAsia"/>
                            </w:rPr>
                            <w:instrText xml:space="preserve"> PAGE  \* MERGEFORMAT </w:instrText>
                          </w:r>
                          <w:r>
                            <w:rPr>
                              <w:rFonts w:hint="eastAsia"/>
                            </w:rPr>
                            <w:fldChar w:fldCharType="separate"/>
                          </w:r>
                          <w:r w:rsidR="00AD571C">
                            <w:rPr>
                              <w:noProof/>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028" o:spid="_x0000_s1030"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P0LdFrMAQAAjwMAAA4AAAAAAAAAAAAA&#10;AAAALgIAAGRycy9lMm9Eb2MueG1sUEsBAi0AFAAGAAgAAAAhAAxK8O7WAAAABQEAAA8AAAAAAAAA&#10;AAAAAAAAJgQAAGRycy9kb3ducmV2LnhtbFBLBQYAAAAABAAEAPMAAAApBQAAAAA=&#10;" filled="f" stroked="f">
              <v:textbox style="mso-fit-shape-to-text:t" inset="0,0,0,0">
                <w:txbxContent>
                  <w:p w:rsidR="00104E16" w:rsidRDefault="00EA32AE">
                    <w:pPr>
                      <w:pStyle w:val="a5"/>
                    </w:pPr>
                    <w:r>
                      <w:rPr>
                        <w:rFonts w:hint="eastAsia"/>
                      </w:rPr>
                      <w:fldChar w:fldCharType="begin"/>
                    </w:r>
                    <w:r>
                      <w:rPr>
                        <w:rFonts w:hint="eastAsia"/>
                      </w:rPr>
                      <w:instrText xml:space="preserve"> PAGE  \* MERGEFORMAT </w:instrText>
                    </w:r>
                    <w:r>
                      <w:rPr>
                        <w:rFonts w:hint="eastAsia"/>
                      </w:rPr>
                      <w:fldChar w:fldCharType="separate"/>
                    </w:r>
                    <w:r w:rsidR="00AD571C">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4AF" w:rsidRDefault="001464AF">
      <w:r>
        <w:separator/>
      </w:r>
    </w:p>
  </w:footnote>
  <w:footnote w:type="continuationSeparator" w:id="0">
    <w:p w:rsidR="001464AF" w:rsidRDefault="001464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641"/>
    <w:rsid w:val="000077E9"/>
    <w:rsid w:val="0002681D"/>
    <w:rsid w:val="000401A5"/>
    <w:rsid w:val="000452CB"/>
    <w:rsid w:val="00070D85"/>
    <w:rsid w:val="00076250"/>
    <w:rsid w:val="00084EBC"/>
    <w:rsid w:val="00091812"/>
    <w:rsid w:val="0009780C"/>
    <w:rsid w:val="000A3B7C"/>
    <w:rsid w:val="000C7D43"/>
    <w:rsid w:val="000D4C09"/>
    <w:rsid w:val="000F0ED6"/>
    <w:rsid w:val="000F164E"/>
    <w:rsid w:val="000F65B3"/>
    <w:rsid w:val="000F6D42"/>
    <w:rsid w:val="00102321"/>
    <w:rsid w:val="00103FDF"/>
    <w:rsid w:val="00104E16"/>
    <w:rsid w:val="00105CD5"/>
    <w:rsid w:val="001069DB"/>
    <w:rsid w:val="00120EF7"/>
    <w:rsid w:val="001222C8"/>
    <w:rsid w:val="00140644"/>
    <w:rsid w:val="001464AF"/>
    <w:rsid w:val="00150179"/>
    <w:rsid w:val="00153726"/>
    <w:rsid w:val="00166761"/>
    <w:rsid w:val="00172A27"/>
    <w:rsid w:val="00175311"/>
    <w:rsid w:val="001A0B01"/>
    <w:rsid w:val="001A14BF"/>
    <w:rsid w:val="001A4F62"/>
    <w:rsid w:val="001B1A3D"/>
    <w:rsid w:val="001B2328"/>
    <w:rsid w:val="001B4000"/>
    <w:rsid w:val="001B6E1B"/>
    <w:rsid w:val="001C0FD7"/>
    <w:rsid w:val="001C6CE9"/>
    <w:rsid w:val="001D4556"/>
    <w:rsid w:val="001E0641"/>
    <w:rsid w:val="001E2E88"/>
    <w:rsid w:val="001F2DAD"/>
    <w:rsid w:val="00206EEA"/>
    <w:rsid w:val="00206FAC"/>
    <w:rsid w:val="002158CB"/>
    <w:rsid w:val="00274D02"/>
    <w:rsid w:val="00282B0B"/>
    <w:rsid w:val="00290BB1"/>
    <w:rsid w:val="002C6D15"/>
    <w:rsid w:val="002D2D5E"/>
    <w:rsid w:val="002D75F3"/>
    <w:rsid w:val="002E6696"/>
    <w:rsid w:val="002F14A4"/>
    <w:rsid w:val="00313185"/>
    <w:rsid w:val="00313EDF"/>
    <w:rsid w:val="00324ABC"/>
    <w:rsid w:val="00324BF5"/>
    <w:rsid w:val="003279C7"/>
    <w:rsid w:val="00330292"/>
    <w:rsid w:val="00337F74"/>
    <w:rsid w:val="00341842"/>
    <w:rsid w:val="003424E1"/>
    <w:rsid w:val="003427E9"/>
    <w:rsid w:val="00351F69"/>
    <w:rsid w:val="0035292D"/>
    <w:rsid w:val="00362397"/>
    <w:rsid w:val="003634D4"/>
    <w:rsid w:val="0038149E"/>
    <w:rsid w:val="00385965"/>
    <w:rsid w:val="00386910"/>
    <w:rsid w:val="00395F5B"/>
    <w:rsid w:val="00396FDA"/>
    <w:rsid w:val="003A49E1"/>
    <w:rsid w:val="003B0013"/>
    <w:rsid w:val="003B2286"/>
    <w:rsid w:val="003B4147"/>
    <w:rsid w:val="003D74AE"/>
    <w:rsid w:val="003E2146"/>
    <w:rsid w:val="00412B18"/>
    <w:rsid w:val="00413AB6"/>
    <w:rsid w:val="004244CF"/>
    <w:rsid w:val="00426B70"/>
    <w:rsid w:val="004568A4"/>
    <w:rsid w:val="00472446"/>
    <w:rsid w:val="00474036"/>
    <w:rsid w:val="00481F0F"/>
    <w:rsid w:val="004906D4"/>
    <w:rsid w:val="00490FF7"/>
    <w:rsid w:val="00494337"/>
    <w:rsid w:val="004952DE"/>
    <w:rsid w:val="00497B34"/>
    <w:rsid w:val="004A13DC"/>
    <w:rsid w:val="004A42F3"/>
    <w:rsid w:val="004B2E26"/>
    <w:rsid w:val="004C4C2B"/>
    <w:rsid w:val="004E1F0B"/>
    <w:rsid w:val="005116F0"/>
    <w:rsid w:val="005169D3"/>
    <w:rsid w:val="00516F51"/>
    <w:rsid w:val="00537847"/>
    <w:rsid w:val="005442E7"/>
    <w:rsid w:val="005507A0"/>
    <w:rsid w:val="005559F9"/>
    <w:rsid w:val="00562D8F"/>
    <w:rsid w:val="00584518"/>
    <w:rsid w:val="00593B43"/>
    <w:rsid w:val="005B4EAB"/>
    <w:rsid w:val="005C3A35"/>
    <w:rsid w:val="005D2E68"/>
    <w:rsid w:val="005D5F25"/>
    <w:rsid w:val="005E1C57"/>
    <w:rsid w:val="005E6EBE"/>
    <w:rsid w:val="005F2306"/>
    <w:rsid w:val="00601D17"/>
    <w:rsid w:val="00614186"/>
    <w:rsid w:val="00623F78"/>
    <w:rsid w:val="00631BC9"/>
    <w:rsid w:val="00636B3B"/>
    <w:rsid w:val="00650EBF"/>
    <w:rsid w:val="006534FB"/>
    <w:rsid w:val="006739AC"/>
    <w:rsid w:val="006A11C0"/>
    <w:rsid w:val="006B0D8D"/>
    <w:rsid w:val="006D3818"/>
    <w:rsid w:val="006D4F06"/>
    <w:rsid w:val="006D5DA2"/>
    <w:rsid w:val="006E1E0A"/>
    <w:rsid w:val="006E3C85"/>
    <w:rsid w:val="006E3CEA"/>
    <w:rsid w:val="006E71CB"/>
    <w:rsid w:val="006F1262"/>
    <w:rsid w:val="006F3C80"/>
    <w:rsid w:val="007017C4"/>
    <w:rsid w:val="00711041"/>
    <w:rsid w:val="00711423"/>
    <w:rsid w:val="00713C6B"/>
    <w:rsid w:val="00734A9E"/>
    <w:rsid w:val="00761F19"/>
    <w:rsid w:val="0076291C"/>
    <w:rsid w:val="00766FA9"/>
    <w:rsid w:val="0076766C"/>
    <w:rsid w:val="00774683"/>
    <w:rsid w:val="007748A7"/>
    <w:rsid w:val="00784396"/>
    <w:rsid w:val="00790C6C"/>
    <w:rsid w:val="007A0509"/>
    <w:rsid w:val="007A1FDC"/>
    <w:rsid w:val="007B1790"/>
    <w:rsid w:val="007C4737"/>
    <w:rsid w:val="007C4F34"/>
    <w:rsid w:val="007D4F2D"/>
    <w:rsid w:val="00800C48"/>
    <w:rsid w:val="00817754"/>
    <w:rsid w:val="00836033"/>
    <w:rsid w:val="00850A51"/>
    <w:rsid w:val="00877F4F"/>
    <w:rsid w:val="00882D2F"/>
    <w:rsid w:val="00885C12"/>
    <w:rsid w:val="00890F4E"/>
    <w:rsid w:val="008C1F7C"/>
    <w:rsid w:val="008C4D5F"/>
    <w:rsid w:val="008D53EF"/>
    <w:rsid w:val="008D54A4"/>
    <w:rsid w:val="008E011A"/>
    <w:rsid w:val="008E68F0"/>
    <w:rsid w:val="008E7889"/>
    <w:rsid w:val="008E7E80"/>
    <w:rsid w:val="008F7A9B"/>
    <w:rsid w:val="00901FF2"/>
    <w:rsid w:val="00905459"/>
    <w:rsid w:val="00920BF5"/>
    <w:rsid w:val="009226D8"/>
    <w:rsid w:val="009264C6"/>
    <w:rsid w:val="00945149"/>
    <w:rsid w:val="00953ED5"/>
    <w:rsid w:val="00957F77"/>
    <w:rsid w:val="00970209"/>
    <w:rsid w:val="009703D3"/>
    <w:rsid w:val="009733A7"/>
    <w:rsid w:val="009905CD"/>
    <w:rsid w:val="00997A6A"/>
    <w:rsid w:val="009A0CC5"/>
    <w:rsid w:val="009A3754"/>
    <w:rsid w:val="009B36D1"/>
    <w:rsid w:val="009B4286"/>
    <w:rsid w:val="009C0C5B"/>
    <w:rsid w:val="009C5D7E"/>
    <w:rsid w:val="009C665E"/>
    <w:rsid w:val="009C66C5"/>
    <w:rsid w:val="009D7967"/>
    <w:rsid w:val="009F146C"/>
    <w:rsid w:val="009F3B50"/>
    <w:rsid w:val="009F4193"/>
    <w:rsid w:val="009F4281"/>
    <w:rsid w:val="009F4405"/>
    <w:rsid w:val="00A01E97"/>
    <w:rsid w:val="00A04870"/>
    <w:rsid w:val="00A11BA6"/>
    <w:rsid w:val="00A24845"/>
    <w:rsid w:val="00A302AE"/>
    <w:rsid w:val="00A45291"/>
    <w:rsid w:val="00A5124B"/>
    <w:rsid w:val="00A52791"/>
    <w:rsid w:val="00A73C1B"/>
    <w:rsid w:val="00A839AF"/>
    <w:rsid w:val="00A95915"/>
    <w:rsid w:val="00AA1017"/>
    <w:rsid w:val="00AA2D59"/>
    <w:rsid w:val="00AB3D18"/>
    <w:rsid w:val="00AB4CCD"/>
    <w:rsid w:val="00AB791D"/>
    <w:rsid w:val="00AC5063"/>
    <w:rsid w:val="00AD571C"/>
    <w:rsid w:val="00AE152A"/>
    <w:rsid w:val="00AF3823"/>
    <w:rsid w:val="00B104DC"/>
    <w:rsid w:val="00B11770"/>
    <w:rsid w:val="00B206A9"/>
    <w:rsid w:val="00B217AA"/>
    <w:rsid w:val="00B245EF"/>
    <w:rsid w:val="00B327C1"/>
    <w:rsid w:val="00B32B0A"/>
    <w:rsid w:val="00B360D4"/>
    <w:rsid w:val="00B51361"/>
    <w:rsid w:val="00B51C77"/>
    <w:rsid w:val="00B567A5"/>
    <w:rsid w:val="00B64440"/>
    <w:rsid w:val="00B671A5"/>
    <w:rsid w:val="00B756E5"/>
    <w:rsid w:val="00B758BF"/>
    <w:rsid w:val="00BA2015"/>
    <w:rsid w:val="00BA4CEB"/>
    <w:rsid w:val="00BB670E"/>
    <w:rsid w:val="00BC7A81"/>
    <w:rsid w:val="00BF4006"/>
    <w:rsid w:val="00C00192"/>
    <w:rsid w:val="00C003A5"/>
    <w:rsid w:val="00C029AB"/>
    <w:rsid w:val="00C03F13"/>
    <w:rsid w:val="00C04CE0"/>
    <w:rsid w:val="00C11B8A"/>
    <w:rsid w:val="00C21C12"/>
    <w:rsid w:val="00CB4BFA"/>
    <w:rsid w:val="00CC18EB"/>
    <w:rsid w:val="00CC49D4"/>
    <w:rsid w:val="00CC68C3"/>
    <w:rsid w:val="00CD1F3E"/>
    <w:rsid w:val="00CD2959"/>
    <w:rsid w:val="00CD79E7"/>
    <w:rsid w:val="00CF2D2C"/>
    <w:rsid w:val="00D1289F"/>
    <w:rsid w:val="00D12C2C"/>
    <w:rsid w:val="00D4738C"/>
    <w:rsid w:val="00D51C9D"/>
    <w:rsid w:val="00D51D4F"/>
    <w:rsid w:val="00D57DB2"/>
    <w:rsid w:val="00D6372F"/>
    <w:rsid w:val="00D656BC"/>
    <w:rsid w:val="00D67A01"/>
    <w:rsid w:val="00D723C7"/>
    <w:rsid w:val="00D726D2"/>
    <w:rsid w:val="00D77071"/>
    <w:rsid w:val="00D8011E"/>
    <w:rsid w:val="00D95591"/>
    <w:rsid w:val="00D95DE4"/>
    <w:rsid w:val="00DA33E9"/>
    <w:rsid w:val="00DA38C9"/>
    <w:rsid w:val="00DA55CF"/>
    <w:rsid w:val="00DB102C"/>
    <w:rsid w:val="00DB1E26"/>
    <w:rsid w:val="00DB3E94"/>
    <w:rsid w:val="00DB4464"/>
    <w:rsid w:val="00DB6829"/>
    <w:rsid w:val="00DF13F0"/>
    <w:rsid w:val="00DF513D"/>
    <w:rsid w:val="00E06280"/>
    <w:rsid w:val="00E07628"/>
    <w:rsid w:val="00E14643"/>
    <w:rsid w:val="00E34656"/>
    <w:rsid w:val="00E36E03"/>
    <w:rsid w:val="00E67700"/>
    <w:rsid w:val="00E73B41"/>
    <w:rsid w:val="00E83443"/>
    <w:rsid w:val="00E9255D"/>
    <w:rsid w:val="00E93BC4"/>
    <w:rsid w:val="00EA32AE"/>
    <w:rsid w:val="00EA4ABC"/>
    <w:rsid w:val="00EB2F42"/>
    <w:rsid w:val="00EB66FD"/>
    <w:rsid w:val="00ED5007"/>
    <w:rsid w:val="00F113B4"/>
    <w:rsid w:val="00F17D94"/>
    <w:rsid w:val="00F25D46"/>
    <w:rsid w:val="00F2628B"/>
    <w:rsid w:val="00F26AC6"/>
    <w:rsid w:val="00F276A3"/>
    <w:rsid w:val="00F32D36"/>
    <w:rsid w:val="00F40CBD"/>
    <w:rsid w:val="00F41466"/>
    <w:rsid w:val="00F51AE7"/>
    <w:rsid w:val="00F549EA"/>
    <w:rsid w:val="00F5692A"/>
    <w:rsid w:val="00F56AB1"/>
    <w:rsid w:val="00F85600"/>
    <w:rsid w:val="00F95E98"/>
    <w:rsid w:val="00FB610F"/>
    <w:rsid w:val="00FC3F84"/>
    <w:rsid w:val="00FE2332"/>
    <w:rsid w:val="00FE56D9"/>
    <w:rsid w:val="0628025F"/>
    <w:rsid w:val="0A5C51B7"/>
    <w:rsid w:val="120351CC"/>
    <w:rsid w:val="126B7CC9"/>
    <w:rsid w:val="15513019"/>
    <w:rsid w:val="157A0569"/>
    <w:rsid w:val="1688279D"/>
    <w:rsid w:val="1902408D"/>
    <w:rsid w:val="192A3603"/>
    <w:rsid w:val="1A92639F"/>
    <w:rsid w:val="1E902995"/>
    <w:rsid w:val="1FD5303F"/>
    <w:rsid w:val="242C3E90"/>
    <w:rsid w:val="25791D2A"/>
    <w:rsid w:val="260E1683"/>
    <w:rsid w:val="2781015B"/>
    <w:rsid w:val="280045E6"/>
    <w:rsid w:val="293A55F6"/>
    <w:rsid w:val="2BD949D2"/>
    <w:rsid w:val="2C7675C0"/>
    <w:rsid w:val="2CBF1676"/>
    <w:rsid w:val="2DD3378F"/>
    <w:rsid w:val="2FD317BE"/>
    <w:rsid w:val="349D0723"/>
    <w:rsid w:val="36500DB3"/>
    <w:rsid w:val="38673EA6"/>
    <w:rsid w:val="409D0F37"/>
    <w:rsid w:val="43D75BC7"/>
    <w:rsid w:val="46763082"/>
    <w:rsid w:val="47571771"/>
    <w:rsid w:val="4A4E0D91"/>
    <w:rsid w:val="4EBD26F5"/>
    <w:rsid w:val="50715B67"/>
    <w:rsid w:val="5453504F"/>
    <w:rsid w:val="55460AD8"/>
    <w:rsid w:val="56EA77CE"/>
    <w:rsid w:val="57D01A2F"/>
    <w:rsid w:val="5C866AD3"/>
    <w:rsid w:val="5E0C0DE3"/>
    <w:rsid w:val="5EDD277E"/>
    <w:rsid w:val="618676BB"/>
    <w:rsid w:val="619C30B6"/>
    <w:rsid w:val="61F90268"/>
    <w:rsid w:val="627F4DD3"/>
    <w:rsid w:val="643057A1"/>
    <w:rsid w:val="687D13F1"/>
    <w:rsid w:val="6A3366C1"/>
    <w:rsid w:val="6CCB027C"/>
    <w:rsid w:val="73D17165"/>
    <w:rsid w:val="73E32D5B"/>
    <w:rsid w:val="79E447A9"/>
    <w:rsid w:val="7B9A0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hint="eastAsia"/>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 w:type="paragraph" w:styleId="a4">
    <w:name w:val="Balloon Text"/>
    <w:basedOn w:val="a"/>
    <w:link w:val="Char"/>
    <w:uiPriority w:val="99"/>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jc w:val="left"/>
    </w:pPr>
    <w:rPr>
      <w:rFonts w:ascii="黑体" w:eastAsia="黑体" w:hAnsi="黑体"/>
    </w:rPr>
  </w:style>
  <w:style w:type="character" w:styleId="a7">
    <w:name w:val="Hyperlink"/>
    <w:basedOn w:val="a0"/>
    <w:uiPriority w:val="99"/>
    <w:unhideWhenUsed/>
    <w:qFormat/>
    <w:rPr>
      <w:color w:val="0000FF" w:themeColor="hyperlink"/>
      <w:u w:val="single"/>
    </w:rPr>
  </w:style>
  <w:style w:type="character" w:customStyle="1" w:styleId="Char">
    <w:name w:val="批注框文本 Char"/>
    <w:basedOn w:val="a0"/>
    <w:link w:val="a4"/>
    <w:uiPriority w:val="99"/>
    <w:semiHidden/>
    <w:qFormat/>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1Char">
    <w:name w:val="标题 1 Char"/>
    <w:basedOn w:val="a0"/>
    <w:link w:val="1"/>
    <w:uiPriority w:val="9"/>
    <w:unhideWhenUsed/>
    <w:qFormat/>
    <w:rPr>
      <w:rFonts w:ascii="Times New Roman" w:hint="default"/>
      <w:b/>
      <w:kern w:val="44"/>
      <w:sz w:val="44"/>
    </w:rPr>
  </w:style>
  <w:style w:type="paragraph" w:customStyle="1" w:styleId="WPSOffice1">
    <w:name w:val="WPSOffice手动目录 1"/>
    <w:qFormat/>
  </w:style>
  <w:style w:type="paragraph" w:customStyle="1" w:styleId="GBK23">
    <w:name w:val="样式 方正仿宋_GBK 三号 行距: 固定值 23 磅"/>
    <w:basedOn w:val="a"/>
    <w:qFormat/>
    <w:pPr>
      <w:snapToGrid w:val="0"/>
      <w:ind w:firstLineChars="200" w:firstLine="200"/>
    </w:pPr>
    <w:rPr>
      <w:rFonts w:ascii="方正仿宋_GBK" w:eastAsia="方正仿宋_GBK" w:hAnsi="宋体"/>
      <w:sz w:val="32"/>
    </w:rPr>
  </w:style>
  <w:style w:type="table" w:styleId="a8">
    <w:name w:val="Table Grid"/>
    <w:basedOn w:val="a1"/>
    <w:uiPriority w:val="39"/>
    <w:rsid w:val="00DF1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hint="eastAsia"/>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 w:type="paragraph" w:styleId="a4">
    <w:name w:val="Balloon Text"/>
    <w:basedOn w:val="a"/>
    <w:link w:val="Char"/>
    <w:uiPriority w:val="99"/>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jc w:val="left"/>
    </w:pPr>
    <w:rPr>
      <w:rFonts w:ascii="黑体" w:eastAsia="黑体" w:hAnsi="黑体"/>
    </w:rPr>
  </w:style>
  <w:style w:type="character" w:styleId="a7">
    <w:name w:val="Hyperlink"/>
    <w:basedOn w:val="a0"/>
    <w:uiPriority w:val="99"/>
    <w:unhideWhenUsed/>
    <w:qFormat/>
    <w:rPr>
      <w:color w:val="0000FF" w:themeColor="hyperlink"/>
      <w:u w:val="single"/>
    </w:rPr>
  </w:style>
  <w:style w:type="character" w:customStyle="1" w:styleId="Char">
    <w:name w:val="批注框文本 Char"/>
    <w:basedOn w:val="a0"/>
    <w:link w:val="a4"/>
    <w:uiPriority w:val="99"/>
    <w:semiHidden/>
    <w:qFormat/>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1Char">
    <w:name w:val="标题 1 Char"/>
    <w:basedOn w:val="a0"/>
    <w:link w:val="1"/>
    <w:uiPriority w:val="9"/>
    <w:unhideWhenUsed/>
    <w:qFormat/>
    <w:rPr>
      <w:rFonts w:ascii="Times New Roman" w:hint="default"/>
      <w:b/>
      <w:kern w:val="44"/>
      <w:sz w:val="44"/>
    </w:rPr>
  </w:style>
  <w:style w:type="paragraph" w:customStyle="1" w:styleId="WPSOffice1">
    <w:name w:val="WPSOffice手动目录 1"/>
    <w:qFormat/>
  </w:style>
  <w:style w:type="paragraph" w:customStyle="1" w:styleId="GBK23">
    <w:name w:val="样式 方正仿宋_GBK 三号 行距: 固定值 23 磅"/>
    <w:basedOn w:val="a"/>
    <w:qFormat/>
    <w:pPr>
      <w:snapToGrid w:val="0"/>
      <w:ind w:firstLineChars="200" w:firstLine="200"/>
    </w:pPr>
    <w:rPr>
      <w:rFonts w:ascii="方正仿宋_GBK" w:eastAsia="方正仿宋_GBK" w:hAnsi="宋体"/>
      <w:sz w:val="32"/>
    </w:rPr>
  </w:style>
  <w:style w:type="table" w:styleId="a8">
    <w:name w:val="Table Grid"/>
    <w:basedOn w:val="a1"/>
    <w:uiPriority w:val="39"/>
    <w:rsid w:val="00DF1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AFD410-EBC5-4781-BF3A-1AFCB439F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24</Pages>
  <Words>1461</Words>
  <Characters>8332</Characters>
  <Application>Microsoft Office Word</Application>
  <DocSecurity>0</DocSecurity>
  <Lines>69</Lines>
  <Paragraphs>19</Paragraphs>
  <ScaleCrop>false</ScaleCrop>
  <Company/>
  <LinksUpToDate>false</LinksUpToDate>
  <CharactersWithSpaces>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 蕊君</dc:creator>
  <cp:lastModifiedBy>CN=叶晓霞/OU=市场监管处/O=serchzma01</cp:lastModifiedBy>
  <cp:revision>21</cp:revision>
  <cp:lastPrinted>2020-11-17T08:43:00Z</cp:lastPrinted>
  <dcterms:created xsi:type="dcterms:W3CDTF">2020-11-17T05:46:00Z</dcterms:created>
  <dcterms:modified xsi:type="dcterms:W3CDTF">2021-10-14T02:29:00Z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