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黑体" w:hAnsi="Calibri" w:eastAsia="黑体" w:cs="Times New Roman"/>
          <w:sz w:val="32"/>
          <w:szCs w:val="20"/>
          <w:lang w:val="en-US" w:eastAsia="zh-CN"/>
        </w:rPr>
      </w:pPr>
      <w:r>
        <w:rPr>
          <w:rFonts w:hint="eastAsia" w:ascii="黑体" w:hAnsi="Calibri" w:eastAsia="黑体" w:cs="Times New Roman"/>
          <w:sz w:val="32"/>
          <w:szCs w:val="20"/>
        </w:rPr>
        <w:t>附件</w:t>
      </w:r>
      <w:r>
        <w:rPr>
          <w:rFonts w:hint="eastAsia" w:ascii="黑体" w:hAnsi="Calibri" w:eastAsia="黑体" w:cs="Times New Roman"/>
          <w:sz w:val="32"/>
          <w:szCs w:val="20"/>
          <w:lang w:val="en-US" w:eastAsia="zh-CN"/>
        </w:rPr>
        <w:t>1</w:t>
      </w:r>
    </w:p>
    <w:p>
      <w:pPr>
        <w:jc w:val="center"/>
        <w:rPr>
          <w:rFonts w:hint="eastAsia" w:ascii="方正小标宋简体" w:hAnsi="宋体" w:eastAsia="方正小标宋简体"/>
          <w:sz w:val="44"/>
          <w:szCs w:val="44"/>
        </w:rPr>
      </w:pPr>
      <w:r>
        <w:rPr>
          <w:rFonts w:hint="eastAsia" w:ascii="方正小标宋简体" w:hAnsi="宋体" w:eastAsia="方正小标宋简体"/>
          <w:sz w:val="44"/>
          <w:szCs w:val="44"/>
        </w:rPr>
        <w:t>浙江电力市场监管实施办法</w:t>
      </w:r>
    </w:p>
    <w:p>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仿宋_GB2312" w:hAnsi="仿宋" w:eastAsia="仿宋_GB2312"/>
          <w:sz w:val="32"/>
          <w:szCs w:val="32"/>
          <w:lang w:eastAsia="zh-CN"/>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征求意见稿</w:t>
      </w:r>
      <w:r>
        <w:rPr>
          <w:rFonts w:hint="eastAsia" w:ascii="仿宋_GB2312" w:hAnsi="仿宋" w:eastAsia="仿宋_GB2312"/>
          <w:sz w:val="32"/>
          <w:szCs w:val="32"/>
          <w:lang w:eastAsia="zh-CN"/>
        </w:rPr>
        <w:t>）</w:t>
      </w:r>
    </w:p>
    <w:p>
      <w:pPr>
        <w:ind w:firstLine="645"/>
        <w:jc w:val="left"/>
        <w:rPr>
          <w:rFonts w:ascii="仿宋" w:hAnsi="仿宋" w:eastAsia="仿宋"/>
          <w:sz w:val="32"/>
          <w:szCs w:val="32"/>
        </w:rPr>
      </w:pPr>
    </w:p>
    <w:p>
      <w:pPr>
        <w:ind w:left="645"/>
        <w:jc w:val="center"/>
        <w:rPr>
          <w:rFonts w:ascii="仿宋" w:hAnsi="仿宋" w:eastAsia="仿宋"/>
          <w:sz w:val="32"/>
          <w:szCs w:val="32"/>
        </w:rPr>
      </w:pPr>
      <w:r>
        <w:rPr>
          <w:rFonts w:hint="eastAsia" w:asciiTheme="minorEastAsia" w:hAnsiTheme="minorEastAsia"/>
          <w:sz w:val="32"/>
          <w:szCs w:val="32"/>
        </w:rPr>
        <w:t>第一章 总则</w:t>
      </w:r>
    </w:p>
    <w:p>
      <w:pPr>
        <w:ind w:firstLine="645"/>
        <w:rPr>
          <w:rFonts w:hint="eastAsia" w:ascii="仿宋_GB2312" w:hAnsi="仿宋" w:eastAsia="仿宋_GB2312"/>
          <w:sz w:val="32"/>
          <w:szCs w:val="32"/>
          <w:lang w:eastAsia="zh-CN"/>
        </w:rPr>
      </w:pPr>
      <w:r>
        <w:rPr>
          <w:rFonts w:hint="eastAsia" w:ascii="仿宋_GB2312" w:hAnsi="仿宋" w:eastAsia="仿宋_GB2312"/>
          <w:b/>
          <w:sz w:val="32"/>
          <w:szCs w:val="32"/>
        </w:rPr>
        <w:t>第一条</w:t>
      </w:r>
      <w:r>
        <w:rPr>
          <w:rFonts w:hint="eastAsia" w:ascii="仿宋_GB2312" w:hAnsi="仿宋" w:eastAsia="仿宋_GB2312"/>
          <w:sz w:val="32"/>
          <w:szCs w:val="32"/>
        </w:rPr>
        <w:t xml:space="preserve"> 为加强电力市场监管，规范市场行为，维护市场秩序，根据《中共中央 国务院关于进一步深化电力体制改革的若干意见》及其配套文件、《电力监管条例》《电力市场监管办法》《电力市场运行基本规则》《国务院办公厅关于完善全国统一电力市场体系的实施意见》以及有关法律法规和政策规定，结合浙江实际，制定本办法。</w:t>
      </w:r>
    </w:p>
    <w:p>
      <w:pPr>
        <w:ind w:firstLine="645"/>
        <w:rPr>
          <w:rFonts w:ascii="仿宋_GB2312" w:hAnsi="仿宋" w:eastAsia="仿宋_GB2312"/>
          <w:sz w:val="32"/>
          <w:szCs w:val="32"/>
        </w:rPr>
      </w:pPr>
      <w:r>
        <w:rPr>
          <w:rFonts w:hint="eastAsia" w:ascii="仿宋_GB2312" w:hAnsi="仿宋" w:eastAsia="仿宋_GB2312"/>
          <w:b/>
          <w:sz w:val="32"/>
          <w:szCs w:val="32"/>
        </w:rPr>
        <w:t xml:space="preserve">第二条 </w:t>
      </w:r>
      <w:r>
        <w:rPr>
          <w:rFonts w:hint="eastAsia" w:ascii="仿宋_GB2312" w:hAnsi="仿宋" w:eastAsia="仿宋_GB2312"/>
          <w:sz w:val="32"/>
          <w:szCs w:val="32"/>
        </w:rPr>
        <w:t>本办法适用于浙江电力市场监管，将根据电力市场建设情况适时予以修订。</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第三条 </w:t>
      </w:r>
      <w:r>
        <w:rPr>
          <w:rFonts w:hint="eastAsia" w:ascii="仿宋_GB2312" w:hAnsi="仿宋" w:eastAsia="仿宋_GB2312"/>
          <w:sz w:val="32"/>
          <w:szCs w:val="32"/>
        </w:rPr>
        <w:t>国家能源局浙江监管办公室（以下简称浙江能源监管办）依法依规对浙江电力市场实施监管。</w:t>
      </w:r>
    </w:p>
    <w:p>
      <w:pPr>
        <w:ind w:firstLine="645"/>
        <w:rPr>
          <w:rFonts w:ascii="仿宋_GB2312" w:hAnsi="仿宋" w:eastAsia="仿宋_GB2312"/>
          <w:sz w:val="32"/>
          <w:szCs w:val="32"/>
        </w:rPr>
      </w:pPr>
      <w:r>
        <w:rPr>
          <w:rFonts w:hint="eastAsia" w:ascii="仿宋_GB2312" w:hAnsi="仿宋" w:eastAsia="仿宋_GB2312"/>
          <w:sz w:val="32"/>
          <w:szCs w:val="32"/>
        </w:rPr>
        <w:t>浙江省发展和改革委员会和浙江省能源局（以下简称省发展改革委（能源局））根据职能履行相关监管职责。</w:t>
      </w:r>
    </w:p>
    <w:p>
      <w:pPr>
        <w:ind w:firstLine="645"/>
        <w:rPr>
          <w:rFonts w:ascii="仿宋_GB2312" w:hAnsi="仿宋" w:eastAsia="仿宋_GB2312"/>
          <w:sz w:val="32"/>
          <w:szCs w:val="32"/>
        </w:rPr>
      </w:pPr>
      <w:r>
        <w:rPr>
          <w:rFonts w:hint="eastAsia" w:ascii="仿宋_GB2312" w:hAnsi="仿宋" w:eastAsia="仿宋_GB2312"/>
          <w:b/>
          <w:sz w:val="32"/>
          <w:szCs w:val="32"/>
        </w:rPr>
        <w:t>第四条</w:t>
      </w:r>
      <w:r>
        <w:rPr>
          <w:rFonts w:hint="eastAsia" w:ascii="仿宋_GB2312" w:hAnsi="仿宋" w:eastAsia="仿宋_GB2312"/>
          <w:sz w:val="32"/>
          <w:szCs w:val="32"/>
        </w:rPr>
        <w:t xml:space="preserve"> 电力市场监管依法进行，并遵循公开、公正和效率的原则。</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第五条 </w:t>
      </w:r>
      <w:r>
        <w:rPr>
          <w:rFonts w:hint="eastAsia" w:ascii="仿宋_GB2312" w:hAnsi="仿宋" w:eastAsia="仿宋_GB2312"/>
          <w:sz w:val="32"/>
          <w:szCs w:val="32"/>
        </w:rPr>
        <w:t>电力市场监管对象为电力市场成员（以下简称市场成员），包括电力交易主体、电力市场运营机构和提供输配电服务的电网企业等。</w:t>
      </w:r>
    </w:p>
    <w:p>
      <w:pPr>
        <w:ind w:firstLine="645"/>
        <w:rPr>
          <w:rFonts w:hint="eastAsia" w:ascii="仿宋_GB2312" w:hAnsi="仿宋" w:eastAsia="仿宋_GB2312"/>
          <w:sz w:val="32"/>
          <w:szCs w:val="32"/>
        </w:rPr>
      </w:pPr>
      <w:r>
        <w:rPr>
          <w:rFonts w:hint="eastAsia" w:ascii="仿宋_GB2312" w:hAnsi="仿宋" w:eastAsia="仿宋_GB2312"/>
          <w:sz w:val="32"/>
          <w:szCs w:val="32"/>
        </w:rPr>
        <w:t>电力交易主体包括经营主体和按照国家有关规定对暂未直接参与电力市场交易的用户实施代理购电的电网企业。经营主体包括参与电力市场交易的发电企业、售电企业、电力用户和新型经营主体。</w:t>
      </w:r>
    </w:p>
    <w:p>
      <w:pPr>
        <w:ind w:firstLine="645"/>
        <w:rPr>
          <w:rFonts w:ascii="仿宋_GB2312" w:hAnsi="仿宋" w:eastAsia="仿宋_GB2312"/>
          <w:sz w:val="32"/>
          <w:szCs w:val="32"/>
        </w:rPr>
      </w:pPr>
      <w:r>
        <w:rPr>
          <w:rFonts w:hint="eastAsia" w:ascii="仿宋_GB2312" w:hAnsi="仿宋" w:eastAsia="仿宋_GB2312"/>
          <w:sz w:val="32"/>
          <w:szCs w:val="32"/>
        </w:rPr>
        <w:t>电力市场运营机构包括电力交易机构、电力调度机构。</w:t>
      </w:r>
    </w:p>
    <w:p>
      <w:pPr>
        <w:ind w:firstLine="645"/>
        <w:rPr>
          <w:rFonts w:ascii="仿宋_GB2312" w:hAnsi="仿宋" w:eastAsia="仿宋_GB2312"/>
          <w:sz w:val="32"/>
          <w:szCs w:val="32"/>
        </w:rPr>
      </w:pPr>
      <w:r>
        <w:rPr>
          <w:rFonts w:hint="eastAsia" w:ascii="仿宋_GB2312" w:hAnsi="仿宋" w:eastAsia="仿宋_GB2312"/>
          <w:b/>
          <w:sz w:val="32"/>
          <w:szCs w:val="32"/>
        </w:rPr>
        <w:t>第六条</w:t>
      </w:r>
      <w:r>
        <w:rPr>
          <w:rFonts w:hint="eastAsia" w:ascii="仿宋_GB2312" w:hAnsi="仿宋" w:eastAsia="仿宋_GB2312"/>
          <w:sz w:val="32"/>
          <w:szCs w:val="32"/>
        </w:rPr>
        <w:t xml:space="preserve"> 市场成员应当自觉遵守电力市场法律、法规、市场规则和有关政策要求，主动接受监管，不得扰乱电力市场秩序，损害市场成员合法权益。</w:t>
      </w:r>
    </w:p>
    <w:p>
      <w:pPr>
        <w:ind w:firstLine="645"/>
        <w:rPr>
          <w:rFonts w:ascii="仿宋_GB2312" w:hAnsi="仿宋" w:eastAsia="仿宋_GB2312"/>
          <w:sz w:val="32"/>
          <w:szCs w:val="32"/>
        </w:rPr>
      </w:pPr>
      <w:r>
        <w:rPr>
          <w:rFonts w:hint="eastAsia" w:ascii="仿宋_GB2312" w:hAnsi="仿宋" w:eastAsia="仿宋_GB2312"/>
          <w:b/>
          <w:sz w:val="32"/>
          <w:szCs w:val="32"/>
        </w:rPr>
        <w:t>第七条</w:t>
      </w:r>
      <w:r>
        <w:rPr>
          <w:rFonts w:hint="eastAsia" w:ascii="仿宋_GB2312" w:hAnsi="仿宋" w:eastAsia="仿宋_GB2312"/>
          <w:sz w:val="32"/>
          <w:szCs w:val="32"/>
        </w:rPr>
        <w:t xml:space="preserve"> 任何单位和个人对违反本办法的行为有权通过12398能源监管热线等方式向浙江能源监管办投诉或举报，浙江能源监管办应当及时处理，并为投诉举报人保密。</w:t>
      </w:r>
    </w:p>
    <w:p>
      <w:pPr>
        <w:jc w:val="center"/>
        <w:rPr>
          <w:rFonts w:asciiTheme="minorEastAsia" w:hAnsiTheme="minorEastAsia"/>
          <w:sz w:val="32"/>
          <w:szCs w:val="32"/>
        </w:rPr>
      </w:pPr>
      <w:r>
        <w:rPr>
          <w:rFonts w:hint="eastAsia" w:asciiTheme="minorEastAsia" w:hAnsiTheme="minorEastAsia"/>
          <w:sz w:val="32"/>
          <w:szCs w:val="32"/>
        </w:rPr>
        <w:t>第二章 监管内容</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第八条 </w:t>
      </w:r>
      <w:r>
        <w:rPr>
          <w:rFonts w:hint="eastAsia" w:ascii="仿宋_GB2312" w:hAnsi="仿宋" w:eastAsia="仿宋_GB2312"/>
          <w:sz w:val="32"/>
          <w:szCs w:val="32"/>
        </w:rPr>
        <w:t>对市场成员的下列情况实施监管：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（一）执行电力市场规则、政策以及有关法律法规等情况；</w:t>
      </w:r>
    </w:p>
    <w:p>
      <w:pPr>
        <w:ind w:firstLine="645"/>
        <w:rPr>
          <w:rFonts w:hint="eastAsia" w:ascii="仿宋_GB2312" w:hAnsi="仿宋" w:eastAsia="仿宋_GB2312"/>
          <w:sz w:val="32"/>
          <w:szCs w:val="32"/>
        </w:rPr>
      </w:pPr>
      <w:r>
        <w:rPr>
          <w:rFonts w:hint="eastAsia" w:ascii="仿宋_GB2312" w:hAnsi="仿宋" w:eastAsia="仿宋_GB2312"/>
          <w:sz w:val="32"/>
          <w:szCs w:val="32"/>
        </w:rPr>
        <w:t>（二）电力市场相关技术支持系统建设、维护、运营和管理情况；</w:t>
      </w:r>
    </w:p>
    <w:p>
      <w:pPr>
        <w:ind w:firstLine="645"/>
        <w:rPr>
          <w:rFonts w:hint="eastAsia" w:ascii="仿宋_GB2312" w:hAnsi="仿宋" w:eastAsia="仿宋_GB2312"/>
          <w:sz w:val="32"/>
          <w:szCs w:val="32"/>
        </w:rPr>
      </w:pPr>
      <w:r>
        <w:rPr>
          <w:rFonts w:hint="eastAsia" w:ascii="仿宋_GB2312" w:hAnsi="仿宋" w:eastAsia="仿宋_GB2312"/>
          <w:sz w:val="32"/>
          <w:szCs w:val="32"/>
        </w:rPr>
        <w:t>（三）电力市场交易组织与实施情况、电费结算情况；</w:t>
      </w:r>
    </w:p>
    <w:p>
      <w:pPr>
        <w:ind w:firstLine="645"/>
        <w:rPr>
          <w:rFonts w:hint="eastAsia" w:ascii="仿宋_GB2312" w:hAnsi="仿宋" w:eastAsia="仿宋_GB2312"/>
          <w:sz w:val="32"/>
          <w:szCs w:val="32"/>
        </w:rPr>
      </w:pPr>
      <w:r>
        <w:rPr>
          <w:rFonts w:hint="eastAsia" w:ascii="仿宋_GB2312" w:hAnsi="仿宋" w:eastAsia="仿宋_GB2312"/>
          <w:sz w:val="32"/>
          <w:szCs w:val="32"/>
        </w:rPr>
        <w:t>（四）电力市场信息公开、披露和报送情况；</w:t>
      </w:r>
    </w:p>
    <w:p>
      <w:pPr>
        <w:ind w:firstLine="645"/>
        <w:rPr>
          <w:rFonts w:hint="eastAsia" w:ascii="仿宋_GB2312" w:hAnsi="仿宋" w:eastAsia="仿宋_GB2312"/>
          <w:sz w:val="32"/>
          <w:szCs w:val="32"/>
        </w:rPr>
      </w:pPr>
      <w:r>
        <w:rPr>
          <w:rFonts w:hint="eastAsia" w:ascii="仿宋_GB2312" w:hAnsi="仿宋" w:eastAsia="仿宋_GB2312"/>
          <w:sz w:val="32"/>
          <w:szCs w:val="32"/>
        </w:rPr>
        <w:t>（五）执行国家标准、行业标准的情况；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（六）其他需要监管的情况。</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第九条 </w:t>
      </w:r>
      <w:r>
        <w:rPr>
          <w:rFonts w:hint="eastAsia" w:ascii="仿宋_GB2312" w:hAnsi="仿宋" w:eastAsia="仿宋_GB2312"/>
          <w:sz w:val="32"/>
          <w:szCs w:val="32"/>
        </w:rPr>
        <w:t>除本办法第八条所列情况外，对发电企业的下列情况实施监管：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（一）进入和退出电力市场的情况；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（二）电力调度指令执行情况；</w:t>
      </w:r>
    </w:p>
    <w:p>
      <w:pPr>
        <w:ind w:firstLine="645"/>
        <w:rPr>
          <w:rFonts w:hint="eastAsia" w:ascii="仿宋_GB2312" w:hAnsi="仿宋" w:eastAsia="仿宋_GB2312"/>
          <w:sz w:val="32"/>
          <w:szCs w:val="32"/>
        </w:rPr>
      </w:pPr>
      <w:r>
        <w:rPr>
          <w:rFonts w:hint="eastAsia" w:ascii="仿宋_GB2312" w:hAnsi="仿宋" w:eastAsia="仿宋_GB2312"/>
          <w:sz w:val="32"/>
          <w:szCs w:val="32"/>
        </w:rPr>
        <w:t>（三）不正当竞争、串通报价等违规交易行为；</w:t>
      </w:r>
    </w:p>
    <w:p>
      <w:pPr>
        <w:ind w:firstLine="645"/>
        <w:rPr>
          <w:rFonts w:hint="eastAsia" w:ascii="仿宋_GB2312" w:hAnsi="仿宋" w:eastAsia="仿宋_GB2312"/>
          <w:sz w:val="32"/>
          <w:szCs w:val="32"/>
        </w:rPr>
      </w:pPr>
      <w:r>
        <w:rPr>
          <w:rFonts w:hint="eastAsia" w:ascii="仿宋_GB2312" w:hAnsi="仿宋" w:eastAsia="仿宋_GB2312"/>
          <w:sz w:val="32"/>
          <w:szCs w:val="32"/>
        </w:rPr>
        <w:t>（四）电力市场交易合同签订及履约等情况；</w:t>
      </w:r>
    </w:p>
    <w:p>
      <w:pPr>
        <w:ind w:firstLine="645"/>
        <w:rPr>
          <w:rFonts w:hint="eastAsia" w:ascii="仿宋_GB2312" w:hAnsi="仿宋" w:eastAsia="仿宋_GB2312"/>
          <w:sz w:val="32"/>
          <w:szCs w:val="32"/>
        </w:rPr>
      </w:pPr>
      <w:r>
        <w:rPr>
          <w:rFonts w:hint="eastAsia" w:ascii="仿宋_GB2312" w:hAnsi="仿宋" w:eastAsia="仿宋_GB2312"/>
          <w:sz w:val="32"/>
          <w:szCs w:val="32"/>
        </w:rPr>
        <w:t>（五）所属售电企业开展竞争性售电业务的情况；</w:t>
      </w:r>
    </w:p>
    <w:p>
      <w:pPr>
        <w:ind w:firstLine="645"/>
        <w:rPr>
          <w:rFonts w:ascii="仿宋_GB2312" w:hAnsi="仿宋" w:eastAsia="仿宋_GB2312"/>
          <w:sz w:val="32"/>
          <w:szCs w:val="32"/>
        </w:rPr>
      </w:pPr>
      <w:r>
        <w:rPr>
          <w:rFonts w:hint="eastAsia" w:ascii="仿宋_GB2312" w:hAnsi="仿宋" w:eastAsia="仿宋_GB2312"/>
          <w:sz w:val="32"/>
          <w:szCs w:val="32"/>
        </w:rPr>
        <w:t>（六）其他需要监管的情况。</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第十条 </w:t>
      </w:r>
      <w:r>
        <w:rPr>
          <w:rFonts w:hint="eastAsia" w:ascii="仿宋_GB2312" w:hAnsi="仿宋" w:eastAsia="仿宋_GB2312"/>
          <w:sz w:val="32"/>
          <w:szCs w:val="32"/>
        </w:rPr>
        <w:t>除本办法第八条所列情况外，对电力用户、新型经营主体的下列情况实施监管：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（一）进入和退出电力市场的情况；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（二）自主选择交易对象、交易方式的情况；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（三）不正当竞争、串通报价等违规交易行为；</w:t>
      </w:r>
    </w:p>
    <w:p>
      <w:pPr>
        <w:ind w:firstLine="645"/>
        <w:rPr>
          <w:rFonts w:hint="eastAsia" w:ascii="仿宋_GB2312" w:hAnsi="仿宋" w:eastAsia="仿宋_GB2312"/>
          <w:sz w:val="32"/>
          <w:szCs w:val="32"/>
        </w:rPr>
      </w:pPr>
      <w:r>
        <w:rPr>
          <w:rFonts w:hint="eastAsia" w:ascii="仿宋_GB2312" w:hAnsi="仿宋" w:eastAsia="仿宋_GB2312"/>
          <w:sz w:val="32"/>
          <w:szCs w:val="32"/>
        </w:rPr>
        <w:t>（四）电力市场交易合同签订及履约等情况；</w:t>
      </w:r>
    </w:p>
    <w:p>
      <w:pPr>
        <w:ind w:firstLine="645"/>
        <w:rPr>
          <w:rFonts w:hint="eastAsia" w:ascii="仿宋_GB2312" w:hAnsi="仿宋" w:eastAsia="仿宋_GB2312"/>
          <w:sz w:val="32"/>
          <w:szCs w:val="32"/>
        </w:rPr>
      </w:pPr>
      <w:r>
        <w:rPr>
          <w:rFonts w:hint="eastAsia" w:ascii="仿宋_GB2312" w:hAnsi="仿宋" w:eastAsia="仿宋_GB2312"/>
          <w:sz w:val="32"/>
          <w:szCs w:val="32"/>
        </w:rPr>
        <w:t>（五）按规定支付购电费、输配电费、政府性基金及附加等情况；</w:t>
      </w:r>
    </w:p>
    <w:p>
      <w:pPr>
        <w:ind w:firstLine="645"/>
        <w:rPr>
          <w:rFonts w:hint="eastAsia" w:ascii="仿宋_GB2312" w:hAnsi="仿宋" w:eastAsia="仿宋_GB2312"/>
          <w:sz w:val="32"/>
          <w:szCs w:val="32"/>
        </w:rPr>
      </w:pPr>
      <w:r>
        <w:rPr>
          <w:rFonts w:hint="eastAsia" w:ascii="仿宋_GB2312" w:hAnsi="仿宋" w:eastAsia="仿宋_GB2312"/>
          <w:sz w:val="32"/>
          <w:szCs w:val="32"/>
        </w:rPr>
        <w:t>（六）执行电力调度指令的情况（在系统特殊运行状况下按电力调度机构要求安排用电）；</w:t>
      </w:r>
    </w:p>
    <w:p>
      <w:pPr>
        <w:ind w:firstLine="645"/>
        <w:rPr>
          <w:rFonts w:ascii="仿宋_GB2312" w:hAnsi="仿宋" w:eastAsia="仿宋_GB2312"/>
          <w:sz w:val="32"/>
          <w:szCs w:val="32"/>
        </w:rPr>
      </w:pPr>
      <w:r>
        <w:rPr>
          <w:rFonts w:hint="eastAsia" w:ascii="仿宋_GB2312" w:hAnsi="仿宋" w:eastAsia="仿宋_GB2312"/>
          <w:sz w:val="32"/>
          <w:szCs w:val="32"/>
        </w:rPr>
        <w:t>（七）其他需要监管的情况。</w:t>
      </w:r>
    </w:p>
    <w:p>
      <w:pPr>
        <w:ind w:firstLine="645"/>
        <w:rPr>
          <w:rFonts w:hint="eastAsia" w:ascii="仿宋_GB2312" w:hAnsi="仿宋" w:eastAsia="仿宋_GB2312"/>
          <w:sz w:val="32"/>
          <w:szCs w:val="32"/>
        </w:rPr>
      </w:pPr>
      <w:r>
        <w:rPr>
          <w:rFonts w:hint="eastAsia" w:ascii="仿宋_GB2312" w:hAnsi="仿宋" w:eastAsia="仿宋_GB2312"/>
          <w:b/>
          <w:sz w:val="32"/>
          <w:szCs w:val="32"/>
        </w:rPr>
        <w:t>第十一条</w:t>
      </w:r>
      <w:r>
        <w:rPr>
          <w:rFonts w:hint="eastAsia" w:ascii="仿宋_GB2312" w:hAnsi="仿宋" w:eastAsia="仿宋_GB2312"/>
          <w:sz w:val="32"/>
          <w:szCs w:val="32"/>
        </w:rPr>
        <w:t xml:space="preserve"> 除本办法第八条所列情况外，对电网企业的下列情况实施监管：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（一）保障输配电设施安全稳定运行的情况；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（二）公平无歧视开放电网及提供输电、配电服务情况；</w:t>
      </w:r>
    </w:p>
    <w:p>
      <w:pPr>
        <w:ind w:firstLine="645"/>
        <w:rPr>
          <w:rFonts w:hint="eastAsia" w:ascii="仿宋_GB2312" w:hAnsi="仿宋" w:eastAsia="仿宋_GB2312"/>
          <w:sz w:val="32"/>
          <w:szCs w:val="32"/>
        </w:rPr>
      </w:pPr>
      <w:r>
        <w:rPr>
          <w:rFonts w:hint="eastAsia" w:ascii="仿宋_GB2312" w:hAnsi="仿宋" w:eastAsia="仿宋_GB2312"/>
          <w:sz w:val="32"/>
          <w:szCs w:val="32"/>
        </w:rPr>
        <w:t>（三）向经营主体提供报装、计量、抄表、收费、维修等服务情况；</w:t>
      </w:r>
    </w:p>
    <w:p>
      <w:pPr>
        <w:ind w:firstLine="645"/>
        <w:rPr>
          <w:rFonts w:hint="eastAsia" w:ascii="仿宋_GB2312" w:hAnsi="仿宋" w:eastAsia="仿宋_GB2312"/>
          <w:sz w:val="32"/>
          <w:szCs w:val="32"/>
        </w:rPr>
      </w:pPr>
      <w:r>
        <w:rPr>
          <w:rFonts w:hint="eastAsia" w:ascii="仿宋_GB2312" w:hAnsi="仿宋" w:eastAsia="仿宋_GB2312"/>
          <w:sz w:val="32"/>
          <w:szCs w:val="32"/>
        </w:rPr>
        <w:t>（四）按规定收取输配电费，代收代付电费和政府性基金与附加等情况；</w:t>
      </w:r>
    </w:p>
    <w:p>
      <w:pPr>
        <w:ind w:firstLine="645"/>
        <w:rPr>
          <w:rFonts w:hint="eastAsia" w:ascii="仿宋_GB2312" w:hAnsi="仿宋" w:eastAsia="仿宋_GB2312"/>
          <w:sz w:val="32"/>
          <w:szCs w:val="32"/>
        </w:rPr>
      </w:pPr>
      <w:r>
        <w:rPr>
          <w:rFonts w:hint="eastAsia" w:ascii="仿宋_GB2312" w:hAnsi="仿宋" w:eastAsia="仿宋_GB2312"/>
          <w:sz w:val="32"/>
          <w:szCs w:val="32"/>
        </w:rPr>
        <w:t>（五）按政府定价为不参与市场交易的电力用户提供供电服务的情况；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（六）自身配电网供电区域内，为相关放开计划的电力用户提供保底供电服务的情况；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（七）供用电合同、购售电合同、输配电合同等签订及履约情况；</w:t>
      </w:r>
    </w:p>
    <w:p>
      <w:pPr>
        <w:ind w:firstLine="645"/>
        <w:rPr>
          <w:rFonts w:hint="eastAsia" w:ascii="仿宋_GB2312" w:hAnsi="仿宋" w:eastAsia="仿宋_GB2312"/>
          <w:sz w:val="32"/>
          <w:szCs w:val="32"/>
        </w:rPr>
      </w:pPr>
      <w:r>
        <w:rPr>
          <w:rFonts w:hint="eastAsia" w:ascii="仿宋_GB2312" w:hAnsi="仿宋" w:eastAsia="仿宋_GB2312"/>
          <w:sz w:val="32"/>
          <w:szCs w:val="32"/>
        </w:rPr>
        <w:t>（八）所属或者关联售电企业参与市场交易的情况；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（九）代理购电的情况；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（十）平衡资金管理和资金使用的情况；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（十一）按规定开展电费结算的情况；</w:t>
      </w:r>
    </w:p>
    <w:p>
      <w:pPr>
        <w:ind w:firstLine="645"/>
        <w:rPr>
          <w:rFonts w:ascii="仿宋_GB2312" w:hAnsi="仿宋" w:eastAsia="仿宋_GB2312"/>
          <w:sz w:val="32"/>
          <w:szCs w:val="32"/>
        </w:rPr>
      </w:pPr>
      <w:r>
        <w:rPr>
          <w:rFonts w:hint="eastAsia" w:ascii="仿宋_GB2312" w:hAnsi="仿宋" w:eastAsia="仿宋_GB2312"/>
          <w:sz w:val="32"/>
          <w:szCs w:val="32"/>
        </w:rPr>
        <w:t>（十二）其他需要监管的情况。</w:t>
      </w:r>
    </w:p>
    <w:p>
      <w:pPr>
        <w:ind w:firstLine="645"/>
        <w:rPr>
          <w:rFonts w:hint="eastAsia" w:ascii="仿宋_GB2312" w:hAnsi="仿宋" w:eastAsia="仿宋_GB2312"/>
          <w:sz w:val="32"/>
          <w:szCs w:val="32"/>
        </w:rPr>
      </w:pPr>
      <w:r>
        <w:rPr>
          <w:rFonts w:hint="eastAsia" w:ascii="仿宋_GB2312" w:hAnsi="仿宋" w:eastAsia="仿宋_GB2312"/>
          <w:b/>
          <w:sz w:val="32"/>
          <w:szCs w:val="32"/>
        </w:rPr>
        <w:t>第十二条</w:t>
      </w:r>
      <w:r>
        <w:rPr>
          <w:rFonts w:hint="eastAsia" w:ascii="仿宋_GB2312" w:hAnsi="仿宋" w:eastAsia="仿宋_GB2312"/>
          <w:sz w:val="32"/>
          <w:szCs w:val="32"/>
        </w:rPr>
        <w:t xml:space="preserve"> 除本办法第八条所列情况外，对不拥有配电网运营权的售电企业的下列情况实施监管：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（一）进入和退出电力市场的情况；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（二）电力市场交易合同签订及履约等情况；</w:t>
      </w:r>
    </w:p>
    <w:p>
      <w:pPr>
        <w:ind w:firstLine="645"/>
        <w:rPr>
          <w:rFonts w:hint="eastAsia" w:ascii="仿宋_GB2312" w:hAnsi="仿宋" w:eastAsia="仿宋_GB2312"/>
          <w:sz w:val="32"/>
          <w:szCs w:val="32"/>
        </w:rPr>
      </w:pPr>
      <w:r>
        <w:rPr>
          <w:rFonts w:hint="eastAsia" w:ascii="仿宋_GB2312" w:hAnsi="仿宋" w:eastAsia="仿宋_GB2312"/>
          <w:sz w:val="32"/>
          <w:szCs w:val="32"/>
        </w:rPr>
        <w:t>（三）向用户提供售电服务的情况；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（四）不正当竞争、串通报价等违规交易行为；</w:t>
      </w:r>
    </w:p>
    <w:p>
      <w:pPr>
        <w:ind w:firstLine="645"/>
        <w:rPr>
          <w:rFonts w:hint="eastAsia" w:ascii="仿宋_GB2312" w:hAnsi="仿宋" w:eastAsia="仿宋_GB2312"/>
          <w:sz w:val="32"/>
          <w:szCs w:val="32"/>
        </w:rPr>
      </w:pPr>
      <w:r>
        <w:rPr>
          <w:rFonts w:hint="eastAsia" w:ascii="仿宋_GB2312" w:hAnsi="仿宋" w:eastAsia="仿宋_GB2312"/>
          <w:sz w:val="32"/>
          <w:szCs w:val="32"/>
        </w:rPr>
        <w:t>（五）持续满足注册条件的情况；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（六）泄露用户信息的行为；</w:t>
      </w:r>
    </w:p>
    <w:p>
      <w:pPr>
        <w:ind w:firstLine="645"/>
        <w:rPr>
          <w:rFonts w:ascii="仿宋_GB2312" w:hAnsi="仿宋" w:eastAsia="仿宋_GB2312"/>
          <w:sz w:val="32"/>
          <w:szCs w:val="32"/>
        </w:rPr>
      </w:pPr>
      <w:r>
        <w:rPr>
          <w:rFonts w:hint="eastAsia" w:ascii="仿宋_GB2312" w:hAnsi="仿宋" w:eastAsia="仿宋_GB2312"/>
          <w:sz w:val="32"/>
          <w:szCs w:val="32"/>
        </w:rPr>
        <w:t>（七）其他需要监管的情况。</w:t>
      </w:r>
    </w:p>
    <w:p>
      <w:pPr>
        <w:ind w:firstLine="645"/>
        <w:rPr>
          <w:rFonts w:ascii="仿宋_GB2312" w:hAnsi="仿宋" w:eastAsia="仿宋_GB2312"/>
          <w:sz w:val="32"/>
          <w:szCs w:val="32"/>
        </w:rPr>
      </w:pPr>
      <w:r>
        <w:rPr>
          <w:rFonts w:hint="eastAsia" w:ascii="仿宋_GB2312" w:hAnsi="仿宋" w:eastAsia="仿宋_GB2312"/>
          <w:b/>
          <w:sz w:val="32"/>
          <w:szCs w:val="32"/>
        </w:rPr>
        <w:t>第十三条</w:t>
      </w:r>
      <w:r>
        <w:rPr>
          <w:rFonts w:hint="eastAsia" w:ascii="仿宋_GB2312" w:hAnsi="仿宋" w:eastAsia="仿宋_GB2312"/>
          <w:sz w:val="32"/>
          <w:szCs w:val="32"/>
        </w:rPr>
        <w:t xml:space="preserve"> 拥有配电网运营权的售电企业监管内容应包含本办法第八条、第十一条、第十二条所有适用的情况。</w:t>
      </w:r>
    </w:p>
    <w:p>
      <w:pPr>
        <w:ind w:firstLine="645"/>
        <w:rPr>
          <w:rFonts w:hint="eastAsia" w:ascii="仿宋_GB2312" w:hAnsi="仿宋" w:eastAsia="仿宋_GB2312"/>
          <w:sz w:val="32"/>
          <w:szCs w:val="32"/>
        </w:rPr>
      </w:pPr>
      <w:r>
        <w:rPr>
          <w:rFonts w:hint="eastAsia" w:ascii="仿宋_GB2312" w:hAnsi="仿宋" w:eastAsia="仿宋_GB2312"/>
          <w:b/>
          <w:sz w:val="32"/>
          <w:szCs w:val="32"/>
        </w:rPr>
        <w:t>第十四条</w:t>
      </w:r>
      <w:r>
        <w:rPr>
          <w:rFonts w:hint="eastAsia" w:ascii="仿宋_GB2312" w:hAnsi="仿宋" w:eastAsia="仿宋_GB2312"/>
          <w:sz w:val="32"/>
          <w:szCs w:val="32"/>
        </w:rPr>
        <w:t xml:space="preserve"> 除本办法第八条所列情况外，对电力市场运营机构的下列情况实施监管：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（一）按照电力市场运行规则组织电力市场交易的情况；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（二）对电力市场实施干预的情况；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（三）履行市场风险防控职责的情况；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（四）按规定开展市场运营监控和运行分析的情况；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（五）按规定开展市场运营信息保密和从业回避管理的情况；</w:t>
      </w:r>
    </w:p>
    <w:p>
      <w:pPr>
        <w:ind w:firstLine="645"/>
        <w:rPr>
          <w:rFonts w:ascii="仿宋_GB2312" w:hAnsi="仿宋" w:eastAsia="仿宋_GB2312"/>
          <w:sz w:val="32"/>
          <w:szCs w:val="32"/>
        </w:rPr>
      </w:pPr>
      <w:r>
        <w:rPr>
          <w:rFonts w:hint="eastAsia" w:ascii="仿宋_GB2312" w:hAnsi="仿宋" w:eastAsia="仿宋_GB2312"/>
          <w:sz w:val="32"/>
          <w:szCs w:val="32"/>
        </w:rPr>
        <w:t>（六）其他需要监管的情况。</w:t>
      </w:r>
    </w:p>
    <w:p>
      <w:pPr>
        <w:ind w:firstLine="645"/>
        <w:rPr>
          <w:rFonts w:hint="eastAsia" w:ascii="仿宋_GB2312" w:hAnsi="仿宋" w:eastAsia="仿宋_GB2312"/>
          <w:sz w:val="32"/>
          <w:szCs w:val="32"/>
        </w:rPr>
      </w:pPr>
      <w:r>
        <w:rPr>
          <w:rFonts w:hint="eastAsia" w:ascii="仿宋_GB2312" w:hAnsi="仿宋" w:eastAsia="仿宋_GB2312"/>
          <w:b/>
          <w:sz w:val="32"/>
          <w:szCs w:val="32"/>
        </w:rPr>
        <w:t>第十五条</w:t>
      </w:r>
      <w:r>
        <w:rPr>
          <w:rFonts w:hint="eastAsia" w:ascii="仿宋_GB2312" w:hAnsi="仿宋" w:eastAsia="仿宋_GB2312"/>
          <w:sz w:val="32"/>
          <w:szCs w:val="32"/>
        </w:rPr>
        <w:t xml:space="preserve"> 除本办法第八条和第十四条所列情况外，对电力交易机构的下列情况实施监管：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（一）拟定电力市场交易实施细则的情况；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（二）开展电力市场注册管理的情况；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（三）开展电力市场交易合同管理的情况；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（四）履行电力市场交易出清校核责任的情况；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（五）提供结算依据和相关服务的情况；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（六）按规定发布电力市场相关信息的情况；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（七）配合开展经营主体信用评价，制定相关实施细则的情况；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（八）执行市场限价的情况；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（九）持续完善电力零售市场机制的情况；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（十）其他需要监管的情况。</w:t>
      </w:r>
    </w:p>
    <w:p>
      <w:pPr>
        <w:ind w:firstLine="645"/>
        <w:rPr>
          <w:rFonts w:hint="eastAsia" w:ascii="仿宋_GB2312" w:hAnsi="仿宋" w:eastAsia="仿宋_GB2312"/>
          <w:sz w:val="32"/>
          <w:szCs w:val="32"/>
        </w:rPr>
      </w:pPr>
      <w:r>
        <w:rPr>
          <w:rFonts w:hint="eastAsia" w:ascii="仿宋_GB2312" w:hAnsi="仿宋" w:eastAsia="仿宋_GB2312"/>
          <w:b/>
          <w:sz w:val="32"/>
          <w:szCs w:val="32"/>
        </w:rPr>
        <w:t>第十六条</w:t>
      </w:r>
      <w:r>
        <w:rPr>
          <w:rFonts w:hint="eastAsia" w:ascii="仿宋_GB2312" w:hAnsi="仿宋" w:eastAsia="仿宋_GB2312"/>
          <w:sz w:val="32"/>
          <w:szCs w:val="32"/>
        </w:rPr>
        <w:t xml:space="preserve"> 除本办法第八条和第十四条所列情况外，对电力调度机构的下列情况实施监管：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（一）公开、公平、公正地实施电力调度的情况；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（二）履行电力交易结果的电网运行安全校核责任的情况；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（三）按市场规则提供安全约束条件和基础数据的情况；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（四）合理安排运行方式，按照规则开展有关市场交易的情况；</w:t>
      </w:r>
    </w:p>
    <w:p>
      <w:pPr>
        <w:ind w:firstLine="645"/>
        <w:rPr>
          <w:rFonts w:hint="eastAsia" w:ascii="仿宋_GB2312" w:hAnsi="仿宋" w:eastAsia="仿宋_GB2312"/>
          <w:sz w:val="32"/>
          <w:szCs w:val="32"/>
        </w:rPr>
      </w:pPr>
      <w:r>
        <w:rPr>
          <w:rFonts w:hint="eastAsia" w:ascii="仿宋_GB2312" w:hAnsi="仿宋" w:eastAsia="仿宋_GB2312"/>
          <w:sz w:val="32"/>
          <w:szCs w:val="32"/>
        </w:rPr>
        <w:t>（五）根据调度规程实施电力调度，确保电网安全的情况；</w:t>
      </w:r>
    </w:p>
    <w:p>
      <w:pPr>
        <w:ind w:firstLine="645"/>
        <w:rPr>
          <w:rFonts w:hint="eastAsia" w:ascii="仿宋_GB2312" w:hAnsi="仿宋" w:eastAsia="仿宋_GB2312"/>
          <w:sz w:val="32"/>
          <w:szCs w:val="32"/>
        </w:rPr>
      </w:pPr>
      <w:r>
        <w:rPr>
          <w:rFonts w:hint="eastAsia" w:ascii="仿宋_GB2312" w:hAnsi="仿宋" w:eastAsia="仿宋_GB2312"/>
          <w:sz w:val="32"/>
          <w:szCs w:val="32"/>
        </w:rPr>
        <w:t>（六）其他需要监管的情况。</w:t>
      </w:r>
    </w:p>
    <w:p>
      <w:pPr>
        <w:ind w:firstLine="645"/>
        <w:rPr>
          <w:rFonts w:hint="eastAsia" w:ascii="仿宋_GB2312" w:hAnsi="仿宋" w:eastAsia="仿宋_GB2312"/>
          <w:sz w:val="32"/>
          <w:szCs w:val="32"/>
        </w:rPr>
      </w:pPr>
      <w:r>
        <w:rPr>
          <w:rFonts w:hint="eastAsia" w:ascii="仿宋_GB2312" w:hAnsi="仿宋" w:eastAsia="仿宋_GB2312"/>
          <w:b/>
          <w:sz w:val="32"/>
          <w:szCs w:val="32"/>
        </w:rPr>
        <w:t>第十</w:t>
      </w:r>
      <w:r>
        <w:rPr>
          <w:rFonts w:hint="eastAsia" w:ascii="仿宋_GB2312" w:hAnsi="仿宋" w:eastAsia="仿宋_GB2312"/>
          <w:b/>
          <w:sz w:val="32"/>
          <w:szCs w:val="32"/>
          <w:lang w:val="en-US" w:eastAsia="zh-CN"/>
        </w:rPr>
        <w:t>七</w:t>
      </w:r>
      <w:r>
        <w:rPr>
          <w:rFonts w:hint="eastAsia" w:ascii="仿宋_GB2312" w:hAnsi="仿宋" w:eastAsia="仿宋_GB2312"/>
          <w:b/>
          <w:sz w:val="32"/>
          <w:szCs w:val="32"/>
        </w:rPr>
        <w:t>条</w:t>
      </w:r>
      <w:r>
        <w:rPr>
          <w:rFonts w:hint="eastAsia" w:ascii="仿宋_GB2312" w:hAnsi="仿宋" w:eastAsia="仿宋_GB2312"/>
          <w:b/>
          <w:sz w:val="32"/>
          <w:szCs w:val="32"/>
          <w:lang w:val="en-US" w:eastAsia="zh-CN"/>
        </w:rPr>
        <w:t xml:space="preserve"> </w:t>
      </w:r>
      <w:r>
        <w:rPr>
          <w:rFonts w:hint="eastAsia" w:ascii="仿宋_GB2312" w:hAnsi="仿宋" w:eastAsia="仿宋_GB2312"/>
          <w:sz w:val="32"/>
          <w:szCs w:val="32"/>
        </w:rPr>
        <w:t>浙江电力市场管理委员会应严格落实国家有关制度要求，建立健全相关工作规则，实施市场内部自律管理，研究提出完善市场规则制度等方面意见建议，协助浙江能源监管办和政府有关部门促进电力交易机构独立规范运行，监督和纠正扰乱电力市场正常秩序的行为，促进电力市场长期健康发展。</w:t>
      </w:r>
    </w:p>
    <w:p>
      <w:pPr>
        <w:ind w:firstLine="645"/>
        <w:rPr>
          <w:rFonts w:ascii="仿宋_GB2312" w:hAnsi="仿宋" w:eastAsia="仿宋_GB2312"/>
          <w:sz w:val="32"/>
          <w:szCs w:val="32"/>
        </w:rPr>
      </w:pPr>
      <w:r>
        <w:rPr>
          <w:rFonts w:hint="eastAsia" w:ascii="仿宋_GB2312" w:hAnsi="仿宋" w:eastAsia="仿宋_GB2312"/>
          <w:sz w:val="32"/>
          <w:szCs w:val="32"/>
        </w:rPr>
        <w:t>浙江能源监管办、省发展改革委（能源局）可以派员参加浙江电力市场管理委员会有关会议，对会议审议结果可以行使否决权。</w:t>
      </w:r>
    </w:p>
    <w:p>
      <w:pPr>
        <w:jc w:val="center"/>
        <w:rPr>
          <w:rFonts w:asciiTheme="minorEastAsia" w:hAnsiTheme="minorEastAsia"/>
          <w:sz w:val="32"/>
          <w:szCs w:val="32"/>
        </w:rPr>
      </w:pPr>
      <w:r>
        <w:rPr>
          <w:rFonts w:hint="eastAsia" w:asciiTheme="minorEastAsia" w:hAnsiTheme="minorEastAsia"/>
          <w:sz w:val="32"/>
          <w:szCs w:val="32"/>
        </w:rPr>
        <w:t>第三章 电力市场注册监管</w:t>
      </w:r>
    </w:p>
    <w:p>
      <w:pPr>
        <w:ind w:firstLine="645"/>
        <w:rPr>
          <w:rFonts w:hint="eastAsia" w:ascii="仿宋_GB2312" w:hAnsi="仿宋" w:eastAsia="仿宋_GB2312"/>
          <w:sz w:val="32"/>
          <w:szCs w:val="32"/>
        </w:rPr>
      </w:pPr>
      <w:r>
        <w:rPr>
          <w:rFonts w:hint="eastAsia" w:ascii="仿宋_GB2312" w:hAnsi="仿宋" w:eastAsia="仿宋_GB2312"/>
          <w:b/>
          <w:sz w:val="32"/>
          <w:szCs w:val="32"/>
        </w:rPr>
        <w:t>第十</w:t>
      </w:r>
      <w:r>
        <w:rPr>
          <w:rFonts w:hint="eastAsia" w:ascii="仿宋_GB2312" w:hAnsi="仿宋" w:eastAsia="仿宋_GB2312"/>
          <w:b/>
          <w:sz w:val="32"/>
          <w:szCs w:val="32"/>
          <w:lang w:val="en-US" w:eastAsia="zh-CN"/>
        </w:rPr>
        <w:t>八</w:t>
      </w:r>
      <w:r>
        <w:rPr>
          <w:rFonts w:hint="eastAsia" w:ascii="仿宋_GB2312" w:hAnsi="仿宋" w:eastAsia="仿宋_GB2312"/>
          <w:b/>
          <w:sz w:val="32"/>
          <w:szCs w:val="32"/>
        </w:rPr>
        <w:t>条</w:t>
      </w:r>
      <w:r>
        <w:rPr>
          <w:rFonts w:hint="eastAsia" w:ascii="仿宋_GB2312" w:hAnsi="仿宋" w:eastAsia="仿宋_GB2312"/>
          <w:sz w:val="32"/>
          <w:szCs w:val="32"/>
        </w:rPr>
        <w:t xml:space="preserve"> 对电力交易主体开展电力市场注册的情况实施监管。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（一）电力交易主体参与电力市场交易，应当符合基本条件，在电力交易机构办理市场注册，提供资料应准确无误，不得提供虚假资料。具有多重主体身份的电力交易主体，应当按主体类别分别进行注册。</w:t>
      </w:r>
    </w:p>
    <w:p>
      <w:pPr>
        <w:ind w:firstLine="645"/>
        <w:rPr>
          <w:rFonts w:hint="eastAsia" w:ascii="仿宋_GB2312" w:hAnsi="仿宋" w:eastAsia="仿宋_GB2312"/>
          <w:sz w:val="32"/>
          <w:szCs w:val="32"/>
        </w:rPr>
      </w:pPr>
      <w:r>
        <w:rPr>
          <w:rFonts w:hint="eastAsia" w:ascii="仿宋_GB2312" w:hAnsi="仿宋" w:eastAsia="仿宋_GB2312"/>
          <w:sz w:val="32"/>
          <w:szCs w:val="32"/>
        </w:rPr>
        <w:t>（二）电力交易主体市场注册信息发生变化后，应在规定时间内办理市场注册信息变更。</w:t>
      </w:r>
    </w:p>
    <w:p>
      <w:pPr>
        <w:ind w:firstLine="645"/>
        <w:rPr>
          <w:rFonts w:ascii="仿宋_GB2312" w:hAnsi="仿宋" w:eastAsia="仿宋_GB2312"/>
          <w:sz w:val="32"/>
          <w:szCs w:val="32"/>
        </w:rPr>
      </w:pPr>
      <w:r>
        <w:rPr>
          <w:rFonts w:hint="eastAsia" w:ascii="仿宋_GB2312" w:hAnsi="仿宋" w:eastAsia="仿宋_GB2312"/>
          <w:sz w:val="32"/>
          <w:szCs w:val="32"/>
        </w:rPr>
        <w:t>（三）电力交易主体退出电力市场交易，分为申请注销和自动注销。申请注销应当符合正当理由，向首次注册的电力交易机构提出市场注销申请；自动注销由电力交易机构发起，按照公示、生效的流程办理。</w:t>
      </w:r>
    </w:p>
    <w:p>
      <w:pPr>
        <w:ind w:firstLine="645"/>
        <w:rPr>
          <w:rFonts w:hint="eastAsia" w:ascii="仿宋_GB2312" w:hAnsi="仿宋" w:eastAsia="仿宋_GB2312"/>
          <w:sz w:val="32"/>
          <w:szCs w:val="32"/>
        </w:rPr>
      </w:pPr>
      <w:r>
        <w:rPr>
          <w:rFonts w:hint="eastAsia" w:ascii="仿宋_GB2312" w:hAnsi="仿宋" w:eastAsia="仿宋_GB2312"/>
          <w:b/>
          <w:sz w:val="32"/>
          <w:szCs w:val="32"/>
        </w:rPr>
        <w:t>第十</w:t>
      </w:r>
      <w:r>
        <w:rPr>
          <w:rFonts w:hint="eastAsia" w:ascii="仿宋_GB2312" w:hAnsi="仿宋" w:eastAsia="仿宋_GB2312"/>
          <w:b/>
          <w:sz w:val="32"/>
          <w:szCs w:val="32"/>
          <w:lang w:val="en-US" w:eastAsia="zh-CN"/>
        </w:rPr>
        <w:t>九</w:t>
      </w:r>
      <w:r>
        <w:rPr>
          <w:rFonts w:hint="eastAsia" w:ascii="仿宋_GB2312" w:hAnsi="仿宋" w:eastAsia="仿宋_GB2312"/>
          <w:b/>
          <w:sz w:val="32"/>
          <w:szCs w:val="32"/>
        </w:rPr>
        <w:t>条</w:t>
      </w:r>
      <w:r>
        <w:rPr>
          <w:rFonts w:hint="eastAsia" w:ascii="仿宋_GB2312" w:hAnsi="仿宋" w:eastAsia="仿宋_GB2312"/>
          <w:sz w:val="32"/>
          <w:szCs w:val="32"/>
        </w:rPr>
        <w:t xml:space="preserve"> 对电力交易机构办理电力市场注册的情况实施监管。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电力交易机构应当按照电力市场注册基本规则和电力市场规则规定的程序和时限，审核电力交易主体的注册、变更和退出申请。审核情况应当向电力交易主体公布。对于经营主体提交的注册材料不符合要求的，电力交易机构应予以一次性告知。</w:t>
      </w:r>
    </w:p>
    <w:p>
      <w:pPr>
        <w:ind w:firstLine="645"/>
        <w:rPr>
          <w:rFonts w:hint="eastAsia" w:ascii="仿宋_GB2312" w:hAnsi="仿宋" w:eastAsia="仿宋_GB2312"/>
          <w:sz w:val="32"/>
          <w:szCs w:val="32"/>
        </w:rPr>
      </w:pPr>
      <w:r>
        <w:rPr>
          <w:rFonts w:hint="eastAsia" w:ascii="仿宋_GB2312" w:hAnsi="仿宋" w:eastAsia="仿宋_GB2312"/>
          <w:sz w:val="32"/>
          <w:szCs w:val="32"/>
        </w:rPr>
        <w:t>（二）对未及时办理电力市场注册的经营主体，电力交易机构应采取提醒、公告等措施并报浙江能源监管办、省发展改革委（能源局）。</w:t>
      </w:r>
    </w:p>
    <w:p>
      <w:pPr>
        <w:ind w:firstLine="645"/>
        <w:rPr>
          <w:rFonts w:hint="eastAsia" w:ascii="仿宋_GB2312" w:hAnsi="仿宋" w:eastAsia="仿宋_GB2312"/>
          <w:sz w:val="32"/>
          <w:szCs w:val="32"/>
        </w:rPr>
      </w:pPr>
      <w:r>
        <w:rPr>
          <w:rFonts w:hint="eastAsia" w:ascii="仿宋_GB2312" w:hAnsi="仿宋" w:eastAsia="仿宋_GB2312"/>
          <w:b/>
          <w:sz w:val="32"/>
          <w:szCs w:val="32"/>
        </w:rPr>
        <w:t>第</w:t>
      </w:r>
      <w:r>
        <w:rPr>
          <w:rFonts w:hint="eastAsia" w:ascii="仿宋_GB2312" w:hAnsi="仿宋" w:eastAsia="仿宋_GB2312"/>
          <w:b/>
          <w:sz w:val="32"/>
          <w:szCs w:val="32"/>
          <w:lang w:val="en-US" w:eastAsia="zh-CN"/>
        </w:rPr>
        <w:t>二十</w:t>
      </w:r>
      <w:r>
        <w:rPr>
          <w:rFonts w:hint="eastAsia" w:ascii="仿宋_GB2312" w:hAnsi="仿宋" w:eastAsia="仿宋_GB2312"/>
          <w:b/>
          <w:sz w:val="32"/>
          <w:szCs w:val="32"/>
        </w:rPr>
        <w:t>条</w:t>
      </w:r>
      <w:r>
        <w:rPr>
          <w:rFonts w:hint="eastAsia" w:ascii="仿宋_GB2312" w:hAnsi="仿宋" w:eastAsia="仿宋_GB2312"/>
          <w:sz w:val="32"/>
          <w:szCs w:val="32"/>
        </w:rPr>
        <w:t xml:space="preserve"> 对经营主体持续满足准入条件情况实施监管。电力交易机构应当根据电力市场规则、《售电公司管理办法》等每年开展经营主体持续满足注册条件核验，必要时组织对经营主体进行现场核验，发现符合正当理由退出电力市场交易或工商营业执照注销、吊销且未申请市场注销的，予以自动注销处理，并及时报浙江能源监管办、省发展改革委（能源局）备案。每年4月底前将上一年度相关核验工作开展情况报送浙江能源监管办、省发展改革委（能源局）。</w:t>
      </w:r>
    </w:p>
    <w:p>
      <w:pPr>
        <w:ind w:firstLine="645"/>
        <w:rPr>
          <w:rFonts w:hint="eastAsia" w:ascii="仿宋_GB2312" w:hAnsi="仿宋" w:eastAsia="仿宋_GB2312"/>
          <w:sz w:val="32"/>
          <w:szCs w:val="32"/>
        </w:rPr>
      </w:pPr>
      <w:r>
        <w:rPr>
          <w:rFonts w:hint="eastAsia" w:ascii="仿宋_GB2312" w:hAnsi="仿宋" w:eastAsia="仿宋_GB2312"/>
          <w:sz w:val="32"/>
          <w:szCs w:val="32"/>
        </w:rPr>
        <w:t>浙江能源监管办视情况对经营主体如实提供注册资料的情况开展监管。</w:t>
      </w:r>
    </w:p>
    <w:p>
      <w:pPr>
        <w:ind w:firstLine="645"/>
        <w:rPr>
          <w:rFonts w:hint="eastAsia" w:ascii="仿宋_GB2312" w:hAnsi="仿宋" w:eastAsia="仿宋_GB2312"/>
          <w:sz w:val="32"/>
          <w:szCs w:val="32"/>
        </w:rPr>
      </w:pPr>
      <w:r>
        <w:rPr>
          <w:rFonts w:hint="eastAsia" w:ascii="仿宋_GB2312" w:hAnsi="仿宋" w:eastAsia="仿宋_GB2312"/>
          <w:b/>
          <w:sz w:val="32"/>
          <w:szCs w:val="32"/>
        </w:rPr>
        <w:t>第</w:t>
      </w:r>
      <w:r>
        <w:rPr>
          <w:rFonts w:hint="eastAsia" w:ascii="仿宋_GB2312" w:hAnsi="仿宋" w:eastAsia="仿宋_GB2312"/>
          <w:b/>
          <w:sz w:val="32"/>
          <w:szCs w:val="32"/>
          <w:lang w:val="en-US" w:eastAsia="zh-CN"/>
        </w:rPr>
        <w:t>二十一</w:t>
      </w:r>
      <w:r>
        <w:rPr>
          <w:rFonts w:hint="eastAsia" w:ascii="仿宋_GB2312" w:hAnsi="仿宋" w:eastAsia="仿宋_GB2312"/>
          <w:b/>
          <w:sz w:val="32"/>
          <w:szCs w:val="32"/>
        </w:rPr>
        <w:t>条</w:t>
      </w:r>
      <w:r>
        <w:rPr>
          <w:rFonts w:hint="eastAsia" w:ascii="仿宋_GB2312" w:hAnsi="仿宋" w:eastAsia="仿宋_GB2312"/>
          <w:sz w:val="32"/>
          <w:szCs w:val="32"/>
        </w:rPr>
        <w:t xml:space="preserve"> 对经营主体的退出情况实施监管。经营主体应按照市场规则规定退出电力市场。对于即将市场注销的经营主体，其所有已签订但未履行的市场交易合同，原则上通过自主协商等方式在合同下一个履行月之前的10个工作日内完成处理。因市场交易合同各方造成的损失由退市的经营主体承担，或自行通过司法程序解决。</w:t>
      </w:r>
    </w:p>
    <w:p>
      <w:pPr>
        <w:jc w:val="center"/>
        <w:rPr>
          <w:rFonts w:asciiTheme="minorEastAsia" w:hAnsiTheme="minorEastAsia"/>
          <w:sz w:val="32"/>
          <w:szCs w:val="32"/>
        </w:rPr>
      </w:pPr>
      <w:r>
        <w:rPr>
          <w:rFonts w:hint="eastAsia" w:asciiTheme="minorEastAsia" w:hAnsiTheme="minorEastAsia"/>
          <w:sz w:val="32"/>
          <w:szCs w:val="32"/>
        </w:rPr>
        <w:t>第四章 电力市场运营监管</w:t>
      </w:r>
    </w:p>
    <w:p>
      <w:pPr>
        <w:ind w:firstLine="645"/>
        <w:rPr>
          <w:rFonts w:hint="eastAsia"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二</w:t>
      </w:r>
      <w:r>
        <w:rPr>
          <w:rFonts w:hint="eastAsia" w:ascii="仿宋_GB2312" w:hAnsi="仿宋" w:eastAsia="仿宋_GB2312"/>
          <w:b/>
          <w:sz w:val="32"/>
          <w:szCs w:val="32"/>
        </w:rPr>
        <w:t>条</w:t>
      </w:r>
      <w:r>
        <w:rPr>
          <w:rFonts w:hint="eastAsia" w:ascii="仿宋_GB2312" w:hAnsi="仿宋" w:eastAsia="仿宋_GB2312"/>
          <w:sz w:val="32"/>
          <w:szCs w:val="32"/>
        </w:rPr>
        <w:t xml:space="preserve"> 对市场交易组织程序实施监管，包括但不限于以下内容：</w:t>
      </w:r>
    </w:p>
    <w:p>
      <w:pPr>
        <w:ind w:firstLine="645"/>
        <w:rPr>
          <w:rFonts w:hint="eastAsia" w:ascii="仿宋_GB2312" w:hAnsi="仿宋" w:eastAsia="仿宋_GB2312"/>
          <w:sz w:val="32"/>
          <w:szCs w:val="32"/>
        </w:rPr>
      </w:pPr>
      <w:r>
        <w:rPr>
          <w:rFonts w:hint="eastAsia" w:ascii="仿宋_GB2312" w:hAnsi="仿宋" w:eastAsia="仿宋_GB2312"/>
          <w:sz w:val="32"/>
          <w:szCs w:val="32"/>
        </w:rPr>
        <w:t>（一）电力交易机构应按照电力市场规则规定的程序组织电力中长期等交易，执行市场限价，按照规定的程序和时间发布交易公告和相关信息，开放或关闭交易通道，出清、发布并确认市场交易结果。交易结束后，应及时将交易组织过程中市场成员的申报、出清信息以及最终的交易结果等相关交易信息接入电力监管信息系统。</w:t>
      </w:r>
    </w:p>
    <w:p>
      <w:pPr>
        <w:ind w:firstLine="645"/>
        <w:rPr>
          <w:rFonts w:hint="eastAsia" w:ascii="仿宋_GB2312" w:hAnsi="仿宋" w:eastAsia="仿宋_GB2312"/>
          <w:sz w:val="32"/>
          <w:szCs w:val="32"/>
        </w:rPr>
      </w:pPr>
      <w:r>
        <w:rPr>
          <w:rFonts w:hint="eastAsia" w:ascii="仿宋_GB2312" w:hAnsi="仿宋" w:eastAsia="仿宋_GB2312"/>
          <w:sz w:val="32"/>
          <w:szCs w:val="32"/>
        </w:rPr>
        <w:t>（二）电力调度机构应严格执行市场规则，公开、公平、公正实施电力调度，按时向电力交易机构推送相关市场信息，执行信息披露有关规定。应按照电力市场规则组织日前市场、实时市场和辅助服务市场等交易，执行市场限价，按照规定时间发布出清结果、实际出力等。应合理安排电网运行方式，开展安全校核，按照调度规程实施电力调度，依法依规执行电力市场交易结果。</w:t>
      </w:r>
    </w:p>
    <w:p>
      <w:pPr>
        <w:ind w:firstLine="645"/>
        <w:rPr>
          <w:rFonts w:ascii="仿宋_GB2312" w:hAnsi="仿宋" w:eastAsia="仿宋_GB2312"/>
          <w:sz w:val="32"/>
          <w:szCs w:val="32"/>
        </w:rPr>
      </w:pPr>
      <w:r>
        <w:rPr>
          <w:rFonts w:hint="eastAsia" w:ascii="仿宋_GB2312" w:hAnsi="仿宋" w:eastAsia="仿宋_GB2312"/>
          <w:sz w:val="32"/>
          <w:szCs w:val="32"/>
        </w:rPr>
        <w:t>（三）电力交易主体按照电力市场规则规定参与电力市场交易。电力交易主体应按照规定的程序在电力交易平台提交和申报各类交易信息，并对达成的交易结果在规定时间内予以核对和确认。</w:t>
      </w:r>
    </w:p>
    <w:p>
      <w:pPr>
        <w:ind w:firstLine="645"/>
        <w:rPr>
          <w:rFonts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三</w:t>
      </w:r>
      <w:r>
        <w:rPr>
          <w:rFonts w:hint="eastAsia" w:ascii="仿宋_GB2312" w:hAnsi="仿宋" w:eastAsia="仿宋_GB2312"/>
          <w:b/>
          <w:sz w:val="32"/>
          <w:szCs w:val="32"/>
        </w:rPr>
        <w:t>条</w:t>
      </w:r>
      <w:r>
        <w:rPr>
          <w:rFonts w:hint="eastAsia" w:ascii="仿宋_GB2312" w:hAnsi="仿宋" w:eastAsia="仿宋_GB2312"/>
          <w:sz w:val="32"/>
          <w:szCs w:val="32"/>
        </w:rPr>
        <w:t xml:space="preserve"> 对电力市场份额情况实施监管。同一实际控制人注册的售电公司在浙江省内的签约售电量，原则上按季度累计不得超过浙江省签约售电总量的20%。</w:t>
      </w:r>
    </w:p>
    <w:p>
      <w:pPr>
        <w:ind w:firstLine="645"/>
        <w:rPr>
          <w:rFonts w:hint="eastAsia"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四</w:t>
      </w:r>
      <w:r>
        <w:rPr>
          <w:rFonts w:hint="eastAsia" w:ascii="仿宋_GB2312" w:hAnsi="仿宋" w:eastAsia="仿宋_GB2312"/>
          <w:b/>
          <w:sz w:val="32"/>
          <w:szCs w:val="32"/>
        </w:rPr>
        <w:t>条</w:t>
      </w:r>
      <w:r>
        <w:rPr>
          <w:rFonts w:hint="eastAsia" w:ascii="仿宋_GB2312" w:hAnsi="仿宋" w:eastAsia="仿宋_GB2312"/>
          <w:sz w:val="32"/>
          <w:szCs w:val="32"/>
        </w:rPr>
        <w:t xml:space="preserve"> 对市场价格形成情况实施监管。</w:t>
      </w:r>
    </w:p>
    <w:p>
      <w:pPr>
        <w:ind w:firstLine="645"/>
        <w:rPr>
          <w:rFonts w:hint="eastAsia" w:ascii="仿宋_GB2312" w:hAnsi="仿宋" w:eastAsia="仿宋_GB2312"/>
          <w:sz w:val="32"/>
          <w:szCs w:val="32"/>
          <w:lang w:eastAsia="zh-CN"/>
        </w:rPr>
      </w:pPr>
      <w:r>
        <w:rPr>
          <w:rFonts w:hint="eastAsia" w:ascii="仿宋_GB2312" w:hAnsi="仿宋" w:eastAsia="仿宋_GB2312"/>
          <w:sz w:val="32"/>
          <w:szCs w:val="32"/>
        </w:rPr>
        <w:t>（一）电力市场的交易成交价格由电力交易主体通过双边协商、集中竞价、挂牌交易等市场化方式形成，第三方不得干预</w:t>
      </w:r>
      <w:r>
        <w:rPr>
          <w:rFonts w:hint="eastAsia" w:ascii="仿宋_GB2312" w:hAnsi="仿宋" w:eastAsia="仿宋_GB2312"/>
          <w:sz w:val="32"/>
          <w:szCs w:val="32"/>
          <w:lang w:eastAsia="zh-CN"/>
        </w:rPr>
        <w:t>。</w:t>
      </w:r>
    </w:p>
    <w:p>
      <w:pPr>
        <w:ind w:firstLine="645"/>
        <w:rPr>
          <w:rFonts w:hint="eastAsia" w:ascii="仿宋_GB2312" w:hAnsi="仿宋" w:eastAsia="仿宋_GB2312"/>
          <w:sz w:val="32"/>
          <w:szCs w:val="32"/>
          <w:lang w:eastAsia="zh-CN"/>
        </w:rPr>
      </w:pPr>
      <w:r>
        <w:rPr>
          <w:rFonts w:hint="eastAsia" w:ascii="仿宋_GB2312" w:hAnsi="仿宋" w:eastAsia="仿宋_GB2312"/>
          <w:sz w:val="32"/>
          <w:szCs w:val="32"/>
        </w:rPr>
        <w:t>（二）经营主体同类型企业之间不得通过会面、通信等各种方式进行意思联络，不得组织、策划、协调、商议价格和价格变动幅度、步骤、时间等</w:t>
      </w:r>
      <w:r>
        <w:rPr>
          <w:rFonts w:hint="eastAsia" w:ascii="仿宋_GB2312" w:hAnsi="仿宋" w:eastAsia="仿宋_GB2312"/>
          <w:sz w:val="32"/>
          <w:szCs w:val="32"/>
          <w:lang w:eastAsia="zh-CN"/>
        </w:rPr>
        <w:t>。</w:t>
      </w:r>
    </w:p>
    <w:p>
      <w:pPr>
        <w:ind w:firstLine="645"/>
        <w:rPr>
          <w:rFonts w:ascii="仿宋_GB2312" w:hAnsi="仿宋" w:eastAsia="仿宋_GB2312"/>
          <w:sz w:val="32"/>
          <w:szCs w:val="32"/>
        </w:rPr>
      </w:pPr>
      <w:r>
        <w:rPr>
          <w:rFonts w:hint="eastAsia" w:ascii="仿宋_GB2312" w:hAnsi="仿宋" w:eastAsia="仿宋_GB2312"/>
          <w:sz w:val="32"/>
          <w:szCs w:val="32"/>
        </w:rPr>
        <w:t>（三）经营主体参与交易应根据自身发用电成本、电价承受能力等情况合理报价，并符合一般市场竞争规律，不得恶意申报，扰乱市场秩序，谋取不正当利益。</w:t>
      </w:r>
    </w:p>
    <w:p>
      <w:pPr>
        <w:ind w:firstLine="645"/>
        <w:rPr>
          <w:rFonts w:hint="eastAsia"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五</w:t>
      </w:r>
      <w:r>
        <w:rPr>
          <w:rFonts w:hint="eastAsia" w:ascii="仿宋_GB2312" w:hAnsi="仿宋" w:eastAsia="仿宋_GB2312"/>
          <w:b/>
          <w:sz w:val="32"/>
          <w:szCs w:val="32"/>
        </w:rPr>
        <w:t>条</w:t>
      </w:r>
      <w:r>
        <w:rPr>
          <w:rFonts w:hint="eastAsia" w:ascii="仿宋_GB2312" w:hAnsi="仿宋" w:eastAsia="仿宋_GB2312"/>
          <w:sz w:val="32"/>
          <w:szCs w:val="32"/>
        </w:rPr>
        <w:t xml:space="preserve"> 对电力市场合同签订和执行情况实施监管。电力交易主体应遵守国家有关规定,遵循平等自愿、协商一致、诚实信用的原则，参照浙江能源监管办颁布的电力市场合同示范文本签订各类合同，并按照合同约定履行各方权利和义务。</w:t>
      </w:r>
    </w:p>
    <w:p>
      <w:pPr>
        <w:ind w:firstLine="645"/>
        <w:rPr>
          <w:rFonts w:ascii="仿宋_GB2312" w:hAnsi="仿宋" w:eastAsia="仿宋_GB2312"/>
          <w:sz w:val="32"/>
          <w:szCs w:val="32"/>
        </w:rPr>
      </w:pPr>
      <w:r>
        <w:rPr>
          <w:rFonts w:hint="eastAsia" w:ascii="仿宋_GB2312" w:hAnsi="仿宋" w:eastAsia="仿宋_GB2312"/>
          <w:sz w:val="32"/>
          <w:szCs w:val="32"/>
        </w:rPr>
        <w:t>电力交易机构应做好交易合同的收集、汇总和存档，在每月10日前将上月合同信息报送浙江能源监管办或接入电力监管信息系统。</w:t>
      </w:r>
    </w:p>
    <w:p>
      <w:pPr>
        <w:ind w:firstLine="645"/>
        <w:rPr>
          <w:rFonts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六</w:t>
      </w:r>
      <w:r>
        <w:rPr>
          <w:rFonts w:hint="eastAsia" w:ascii="仿宋_GB2312" w:hAnsi="仿宋" w:eastAsia="仿宋_GB2312"/>
          <w:b/>
          <w:sz w:val="32"/>
          <w:szCs w:val="32"/>
        </w:rPr>
        <w:t>条</w:t>
      </w:r>
      <w:r>
        <w:rPr>
          <w:rFonts w:hint="eastAsia" w:ascii="仿宋_GB2312" w:hAnsi="仿宋" w:eastAsia="仿宋_GB2312"/>
          <w:sz w:val="32"/>
          <w:szCs w:val="32"/>
        </w:rPr>
        <w:t xml:space="preserve"> 对电能计量情况实施监管。电网企业和拥有配电网运营权的售电企业应当根据电力市场运行需要为经营主体安装符合国家技术规范的计量装置，按照市场结算要求定期抄录发电企业（机组）和电力用户电能计量装置数据，并按照相关规定向电力交易机构和相关经营主体进行信息披露。</w:t>
      </w:r>
    </w:p>
    <w:p>
      <w:pPr>
        <w:ind w:firstLine="645"/>
        <w:rPr>
          <w:rFonts w:hint="eastAsia" w:ascii="仿宋_GB2312" w:hAnsi="仿宋" w:eastAsia="仿宋_GB2312"/>
          <w:sz w:val="32"/>
          <w:szCs w:val="32"/>
        </w:rPr>
      </w:pPr>
      <w:r>
        <w:rPr>
          <w:rFonts w:hint="eastAsia" w:ascii="仿宋_GB2312" w:hAnsi="仿宋" w:eastAsia="仿宋_GB2312"/>
          <w:b/>
          <w:sz w:val="32"/>
          <w:szCs w:val="32"/>
        </w:rPr>
        <w:t>第二十</w:t>
      </w:r>
      <w:r>
        <w:rPr>
          <w:rFonts w:hint="eastAsia" w:ascii="仿宋_GB2312" w:hAnsi="仿宋" w:eastAsia="仿宋_GB2312"/>
          <w:b/>
          <w:sz w:val="32"/>
          <w:szCs w:val="32"/>
          <w:lang w:val="en-US" w:eastAsia="zh-CN"/>
        </w:rPr>
        <w:t>七</w:t>
      </w:r>
      <w:r>
        <w:rPr>
          <w:rFonts w:hint="eastAsia" w:ascii="仿宋_GB2312" w:hAnsi="仿宋" w:eastAsia="仿宋_GB2312"/>
          <w:b/>
          <w:sz w:val="32"/>
          <w:szCs w:val="32"/>
        </w:rPr>
        <w:t>条</w:t>
      </w:r>
      <w:r>
        <w:rPr>
          <w:rFonts w:hint="eastAsia" w:ascii="仿宋_GB2312" w:hAnsi="仿宋" w:eastAsia="仿宋_GB2312"/>
          <w:sz w:val="32"/>
          <w:szCs w:val="32"/>
        </w:rPr>
        <w:t xml:space="preserve"> 对电力市场结算情况实施监管。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电力交易机构应根据政策文件、市场规则和结算基础数据，对电力交易主体开展量价清分、费用计算与校核，向电力交易主体提供电力市场结算依据。电网企业根据电力交易机构提供的结算依据与经营主体进行电费结算，并按月度形成电费结算情况报告（包括异议处理进展情况等），报送浙江能源监管办。</w:t>
      </w:r>
    </w:p>
    <w:p>
      <w:pPr>
        <w:ind w:firstLine="645"/>
        <w:rPr>
          <w:rFonts w:hint="eastAsia" w:ascii="仿宋_GB2312" w:hAnsi="仿宋" w:eastAsia="仿宋_GB2312"/>
          <w:sz w:val="32"/>
          <w:szCs w:val="32"/>
        </w:rPr>
      </w:pPr>
      <w:r>
        <w:rPr>
          <w:rFonts w:hint="eastAsia" w:ascii="仿宋_GB2312" w:hAnsi="仿宋" w:eastAsia="仿宋_GB2312"/>
          <w:sz w:val="32"/>
          <w:szCs w:val="32"/>
        </w:rPr>
        <w:t>（二）结算依据或电费账单发布后，如存在异议，经营主体、电力交易机构、电网企业应按市场规则规定进行处理。</w:t>
      </w:r>
    </w:p>
    <w:p>
      <w:pPr>
        <w:ind w:firstLine="645"/>
        <w:rPr>
          <w:rFonts w:hint="eastAsia" w:ascii="仿宋_GB2312" w:hAnsi="仿宋" w:eastAsia="仿宋_GB2312"/>
          <w:sz w:val="32"/>
          <w:szCs w:val="32"/>
        </w:rPr>
      </w:pPr>
      <w:r>
        <w:rPr>
          <w:rFonts w:hint="eastAsia" w:ascii="仿宋_GB2312" w:hAnsi="仿宋" w:eastAsia="仿宋_GB2312"/>
          <w:sz w:val="32"/>
          <w:szCs w:val="32"/>
        </w:rPr>
        <w:t>（三）各发电企业省级公司应当按月收集上月下属各发电企业、售电企业及新型经营主体电费结算及收支情况，并向浙江能源监管办报送，对存在支付费用延时、结算异常、电价异常波动等情况，应及时分析原因并在报告中予以反映。</w:t>
      </w:r>
    </w:p>
    <w:p>
      <w:pPr>
        <w:ind w:firstLine="645"/>
        <w:rPr>
          <w:rFonts w:ascii="仿宋_GB2312" w:hAnsi="仿宋" w:eastAsia="仿宋_GB2312"/>
          <w:sz w:val="32"/>
          <w:szCs w:val="32"/>
        </w:rPr>
      </w:pPr>
      <w:r>
        <w:rPr>
          <w:rFonts w:hint="eastAsia" w:ascii="仿宋_GB2312" w:hAnsi="仿宋" w:eastAsia="仿宋_GB2312"/>
          <w:b/>
          <w:sz w:val="32"/>
          <w:szCs w:val="32"/>
        </w:rPr>
        <w:t>第</w:t>
      </w:r>
      <w:r>
        <w:rPr>
          <w:rFonts w:hint="eastAsia" w:ascii="仿宋_GB2312" w:hAnsi="仿宋" w:eastAsia="仿宋_GB2312"/>
          <w:b/>
          <w:sz w:val="32"/>
          <w:szCs w:val="32"/>
          <w:lang w:val="en-US" w:eastAsia="zh-CN"/>
        </w:rPr>
        <w:t>二十八</w:t>
      </w:r>
      <w:r>
        <w:rPr>
          <w:rFonts w:hint="eastAsia" w:ascii="仿宋_GB2312" w:hAnsi="仿宋" w:eastAsia="仿宋_GB2312"/>
          <w:b/>
          <w:sz w:val="32"/>
          <w:szCs w:val="32"/>
        </w:rPr>
        <w:t>条</w:t>
      </w:r>
      <w:r>
        <w:rPr>
          <w:rFonts w:hint="eastAsia" w:ascii="仿宋_GB2312" w:hAnsi="仿宋" w:eastAsia="仿宋_GB2312"/>
          <w:sz w:val="32"/>
          <w:szCs w:val="32"/>
        </w:rPr>
        <w:t xml:space="preserve"> 对平衡资金管理和资金使用情况实施监管。电网企业对平衡资金进行管理，电力市场结算不得设置不平衡资金池，每项结算项目均需独立记录、分类明确疏导并详细列支，按月将上上个月的发用两侧不平衡偏差资金、系统运行费、“两个细则”考核补偿、市场化响应及其他市场交易费用构成及明细，相关费用的分摊和分享明细、平衡资金构成及明细等情况报送浙江能源监管办、省发展改革委（能源局）。</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第二十九条 </w:t>
      </w:r>
      <w:r>
        <w:rPr>
          <w:rFonts w:hint="eastAsia" w:ascii="仿宋_GB2312" w:hAnsi="仿宋" w:eastAsia="仿宋_GB2312"/>
          <w:sz w:val="32"/>
          <w:szCs w:val="32"/>
        </w:rPr>
        <w:t>对电网企业代理购电的情况实施监管。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电网企业应按国家有关规定要求规范代理购电工作流程，按规定及时公开代理购电相关信息，做好市场服务、电费结算等工作，实现自然月购售同期抄表结算。应在用户电费账单中列示代理购电电费明细情况，并按月将代理购电量价、用户变化情况等报送浙江能源监管办、省发展改革委（能源局）。</w:t>
      </w:r>
    </w:p>
    <w:p>
      <w:pPr>
        <w:ind w:firstLine="645"/>
        <w:rPr>
          <w:rFonts w:hint="eastAsia" w:ascii="仿宋_GB2312" w:hAnsi="仿宋" w:eastAsia="仿宋_GB2312"/>
          <w:sz w:val="32"/>
          <w:szCs w:val="32"/>
        </w:rPr>
      </w:pPr>
      <w:r>
        <w:rPr>
          <w:rFonts w:hint="eastAsia" w:ascii="仿宋_GB2312" w:hAnsi="仿宋" w:eastAsia="仿宋_GB2312"/>
          <w:sz w:val="32"/>
          <w:szCs w:val="32"/>
        </w:rPr>
        <w:t>（二）电网企业应定期预测代理购电工商业用户用电量及典型负荷曲线，居民、农业等保障性电量规模应单独预测，应按要求及时公开电量规模、预测与实际数据偏差、采购电量电价结构及水平等信息。</w:t>
      </w:r>
    </w:p>
    <w:p>
      <w:pPr>
        <w:ind w:firstLine="645"/>
        <w:rPr>
          <w:rFonts w:ascii="仿宋_GB2312" w:hAnsi="仿宋" w:eastAsia="仿宋_GB2312"/>
          <w:sz w:val="32"/>
          <w:szCs w:val="32"/>
        </w:rPr>
      </w:pPr>
      <w:r>
        <w:rPr>
          <w:rFonts w:hint="eastAsia" w:ascii="仿宋_GB2312" w:hAnsi="仿宋" w:eastAsia="仿宋_GB2312"/>
          <w:sz w:val="32"/>
          <w:szCs w:val="32"/>
        </w:rPr>
        <w:t>（三）电网企业应开展代理购电政策宣传，逐步缩小电网代理购电规模，推动10千伏及以上用户直接参与电力市场。</w:t>
      </w:r>
    </w:p>
    <w:p>
      <w:pPr>
        <w:jc w:val="center"/>
        <w:rPr>
          <w:rFonts w:hint="eastAsia" w:asciiTheme="minorEastAsia" w:hAnsiTheme="minorEastAsia"/>
          <w:sz w:val="32"/>
          <w:szCs w:val="32"/>
        </w:rPr>
      </w:pPr>
      <w:r>
        <w:rPr>
          <w:rFonts w:hint="eastAsia" w:asciiTheme="minorEastAsia" w:hAnsiTheme="minorEastAsia"/>
          <w:sz w:val="32"/>
          <w:szCs w:val="32"/>
        </w:rPr>
        <w:t>第五章 电力市场竞争秩序监管</w:t>
      </w:r>
    </w:p>
    <w:p>
      <w:pPr>
        <w:ind w:firstLine="645"/>
        <w:rPr>
          <w:rFonts w:hint="eastAsia" w:ascii="仿宋_GB2312" w:hAnsi="仿宋" w:eastAsia="仿宋_GB2312"/>
          <w:sz w:val="32"/>
          <w:szCs w:val="32"/>
        </w:rPr>
      </w:pPr>
      <w:r>
        <w:rPr>
          <w:rFonts w:hint="eastAsia" w:ascii="仿宋_GB2312" w:hAnsi="仿宋" w:eastAsia="仿宋_GB2312"/>
          <w:b/>
          <w:sz w:val="32"/>
          <w:szCs w:val="32"/>
        </w:rPr>
        <w:t>第三十条</w:t>
      </w:r>
      <w:r>
        <w:rPr>
          <w:rFonts w:hint="eastAsia" w:ascii="仿宋_GB2312" w:hAnsi="仿宋" w:eastAsia="仿宋_GB2312"/>
          <w:sz w:val="32"/>
          <w:szCs w:val="32"/>
        </w:rPr>
        <w:t xml:space="preserve"> 对电力市场公平竞争情况实施监管。经营主体应公平竞争，诚信经营，尊重自主选择权，不得有以下行为：</w:t>
      </w:r>
    </w:p>
    <w:p>
      <w:pPr>
        <w:ind w:firstLine="645"/>
        <w:rPr>
          <w:rFonts w:hint="eastAsia" w:ascii="仿宋_GB2312" w:hAnsi="仿宋" w:eastAsia="仿宋_GB2312"/>
          <w:sz w:val="32"/>
          <w:szCs w:val="32"/>
        </w:rPr>
      </w:pPr>
      <w:r>
        <w:rPr>
          <w:rFonts w:hint="eastAsia" w:ascii="仿宋_GB2312" w:hAnsi="仿宋" w:eastAsia="仿宋_GB2312"/>
          <w:sz w:val="32"/>
          <w:szCs w:val="32"/>
        </w:rPr>
        <w:t>（一）达成垄断协议或利用市场操纵力操纵市场交易、价格；</w:t>
      </w:r>
    </w:p>
    <w:p>
      <w:pPr>
        <w:ind w:firstLine="645"/>
        <w:rPr>
          <w:rFonts w:hint="eastAsia" w:ascii="仿宋_GB2312" w:hAnsi="仿宋" w:eastAsia="仿宋_GB2312"/>
          <w:sz w:val="32"/>
          <w:szCs w:val="32"/>
        </w:rPr>
      </w:pPr>
      <w:r>
        <w:rPr>
          <w:rFonts w:hint="eastAsia" w:ascii="仿宋_GB2312" w:hAnsi="仿宋" w:eastAsia="仿宋_GB2312"/>
          <w:sz w:val="32"/>
          <w:szCs w:val="32"/>
        </w:rPr>
        <w:t>（二）以不正当手段损害竞争对手的商业信誉或排挤竞争对手，利用虚假宣传等方式欺骗或误导交易对象；</w:t>
      </w:r>
    </w:p>
    <w:p>
      <w:pPr>
        <w:ind w:firstLine="645"/>
        <w:rPr>
          <w:rFonts w:hint="eastAsia" w:ascii="仿宋_GB2312" w:hAnsi="仿宋" w:eastAsia="仿宋_GB2312"/>
          <w:sz w:val="32"/>
          <w:szCs w:val="32"/>
        </w:rPr>
      </w:pPr>
      <w:r>
        <w:rPr>
          <w:rFonts w:hint="eastAsia" w:ascii="仿宋_GB2312" w:hAnsi="仿宋" w:eastAsia="仿宋_GB2312"/>
          <w:sz w:val="32"/>
          <w:szCs w:val="32"/>
        </w:rPr>
        <w:t>（三）协助资产关联方、关联公司等利益相关方实行串通报价、哄抬价格及扰乱市场秩序等行为，影响市场公平竞争；</w:t>
      </w:r>
    </w:p>
    <w:p>
      <w:pPr>
        <w:ind w:firstLine="645"/>
        <w:rPr>
          <w:rFonts w:hint="eastAsia" w:ascii="仿宋_GB2312" w:hAnsi="仿宋" w:eastAsia="仿宋_GB2312"/>
          <w:sz w:val="32"/>
          <w:szCs w:val="32"/>
        </w:rPr>
      </w:pPr>
      <w:r>
        <w:rPr>
          <w:rFonts w:hint="eastAsia" w:ascii="仿宋_GB2312" w:hAnsi="仿宋" w:eastAsia="仿宋_GB2312"/>
          <w:sz w:val="32"/>
          <w:szCs w:val="32"/>
        </w:rPr>
        <w:t>（四）发电侧、售电侧相关经营主体之间通过线上、线下等方式在中长期双边协商交易外统一约定交易价格、电量等申报要素实现特定交易；</w:t>
      </w:r>
    </w:p>
    <w:p>
      <w:pPr>
        <w:ind w:firstLine="645"/>
        <w:rPr>
          <w:rFonts w:ascii="仿宋_GB2312" w:hAnsi="仿宋" w:eastAsia="仿宋_GB2312"/>
          <w:sz w:val="32"/>
          <w:szCs w:val="32"/>
        </w:rPr>
      </w:pPr>
      <w:r>
        <w:rPr>
          <w:rFonts w:hint="eastAsia" w:ascii="仿宋_GB2312" w:hAnsi="仿宋" w:eastAsia="仿宋_GB2312"/>
          <w:sz w:val="32"/>
          <w:szCs w:val="32"/>
        </w:rPr>
        <w:t>（五）其他影响电力市场公平竞争的行为。</w:t>
      </w:r>
    </w:p>
    <w:p>
      <w:pPr>
        <w:ind w:firstLine="645"/>
        <w:rPr>
          <w:rFonts w:hint="eastAsia" w:ascii="仿宋_GB2312" w:hAnsi="仿宋" w:eastAsia="仿宋_GB2312"/>
          <w:sz w:val="32"/>
          <w:szCs w:val="32"/>
        </w:rPr>
      </w:pPr>
      <w:r>
        <w:rPr>
          <w:rFonts w:hint="eastAsia" w:ascii="仿宋_GB2312" w:hAnsi="仿宋" w:eastAsia="仿宋_GB2312"/>
          <w:b/>
          <w:sz w:val="32"/>
          <w:szCs w:val="32"/>
        </w:rPr>
        <w:t>第三十一条</w:t>
      </w:r>
      <w:r>
        <w:rPr>
          <w:rFonts w:hint="eastAsia" w:ascii="仿宋_GB2312" w:hAnsi="仿宋" w:eastAsia="仿宋_GB2312"/>
          <w:sz w:val="32"/>
          <w:szCs w:val="32"/>
        </w:rPr>
        <w:t xml:space="preserve"> 发电企业应公平参与市场交易，不得有以下行为：</w:t>
      </w:r>
    </w:p>
    <w:p>
      <w:pPr>
        <w:ind w:firstLine="645"/>
        <w:rPr>
          <w:rFonts w:hint="eastAsia" w:ascii="仿宋_GB2312" w:hAnsi="仿宋" w:eastAsia="仿宋_GB2312"/>
          <w:sz w:val="32"/>
          <w:szCs w:val="32"/>
        </w:rPr>
      </w:pPr>
      <w:r>
        <w:rPr>
          <w:rFonts w:hint="eastAsia" w:ascii="仿宋_GB2312" w:hAnsi="仿宋" w:eastAsia="仿宋_GB2312"/>
          <w:sz w:val="32"/>
          <w:szCs w:val="32"/>
        </w:rPr>
        <w:t>（一）发电企业(含关联企业)所属售电企业(含全资、控股或参股)不具有独立法人资格、独立运营</w:t>
      </w:r>
      <w:r>
        <w:rPr>
          <w:rFonts w:hint="eastAsia" w:ascii="仿宋_GB2312" w:hAnsi="仿宋" w:eastAsia="仿宋_GB2312"/>
          <w:sz w:val="32"/>
          <w:szCs w:val="32"/>
          <w:lang w:eastAsia="zh-CN"/>
        </w:rPr>
        <w:t>；</w:t>
      </w:r>
      <w:r>
        <w:rPr>
          <w:rFonts w:hint="eastAsia" w:ascii="仿宋_GB2312" w:hAnsi="仿宋" w:eastAsia="仿宋_GB2312"/>
          <w:sz w:val="32"/>
          <w:szCs w:val="32"/>
        </w:rPr>
        <w:t>发电企业利用“发售一体”优势直接或变相以降低所属售电公司购电成本的方式抢占市场份额，对民营售电公司等各类售电主体和电力大用户进行区别对待；</w:t>
      </w:r>
    </w:p>
    <w:p>
      <w:pPr>
        <w:ind w:firstLine="645"/>
        <w:rPr>
          <w:rFonts w:hint="eastAsia" w:ascii="仿宋_GB2312" w:hAnsi="仿宋" w:eastAsia="仿宋_GB2312"/>
          <w:sz w:val="32"/>
          <w:szCs w:val="32"/>
        </w:rPr>
      </w:pPr>
      <w:r>
        <w:rPr>
          <w:rFonts w:hint="eastAsia" w:ascii="仿宋_GB2312" w:hAnsi="仿宋" w:eastAsia="仿宋_GB2312"/>
          <w:sz w:val="32"/>
          <w:szCs w:val="32"/>
        </w:rPr>
        <w:t>（二）有多个发电厂组成的发电企业开展电力交易时，实施集中报价（不含符合国家关于集中式新能源发电企业报价有关要求，并履行申请等程序的新能源发电企业）；</w:t>
      </w:r>
    </w:p>
    <w:p>
      <w:pPr>
        <w:ind w:firstLine="645"/>
        <w:rPr>
          <w:rFonts w:hint="eastAsia" w:ascii="仿宋_GB2312" w:hAnsi="仿宋" w:eastAsia="仿宋_GB2312"/>
          <w:sz w:val="32"/>
          <w:szCs w:val="32"/>
        </w:rPr>
      </w:pPr>
      <w:r>
        <w:rPr>
          <w:rFonts w:hint="eastAsia" w:ascii="仿宋_GB2312" w:hAnsi="仿宋" w:eastAsia="仿宋_GB2312"/>
          <w:sz w:val="32"/>
          <w:szCs w:val="32"/>
        </w:rPr>
        <w:t>（三）发电企业无故降低或提高机组出力，无故申请、改变机组设备检修状态或检修期限；</w:t>
      </w:r>
    </w:p>
    <w:p>
      <w:pPr>
        <w:ind w:firstLine="645"/>
        <w:rPr>
          <w:rFonts w:hint="eastAsia" w:ascii="仿宋_GB2312" w:hAnsi="仿宋" w:eastAsia="仿宋_GB2312"/>
          <w:sz w:val="32"/>
          <w:szCs w:val="32"/>
        </w:rPr>
      </w:pPr>
      <w:r>
        <w:rPr>
          <w:rFonts w:hint="eastAsia" w:ascii="仿宋_GB2312" w:hAnsi="仿宋" w:eastAsia="仿宋_GB2312"/>
          <w:sz w:val="32"/>
          <w:szCs w:val="32"/>
        </w:rPr>
        <w:t>（四）其他影响电力市场公平竞争的行为。</w:t>
      </w:r>
    </w:p>
    <w:p>
      <w:pPr>
        <w:ind w:firstLine="645"/>
        <w:rPr>
          <w:rFonts w:hint="eastAsia" w:ascii="仿宋_GB2312" w:hAnsi="仿宋" w:eastAsia="仿宋_GB2312"/>
          <w:sz w:val="32"/>
          <w:szCs w:val="32"/>
        </w:rPr>
      </w:pPr>
      <w:r>
        <w:rPr>
          <w:rFonts w:hint="eastAsia" w:ascii="仿宋_GB2312" w:hAnsi="仿宋" w:eastAsia="仿宋_GB2312"/>
          <w:b/>
          <w:sz w:val="32"/>
          <w:szCs w:val="32"/>
        </w:rPr>
        <w:t>第三十二条</w:t>
      </w:r>
      <w:r>
        <w:rPr>
          <w:rFonts w:hint="eastAsia" w:ascii="仿宋_GB2312" w:hAnsi="仿宋" w:eastAsia="仿宋_GB2312"/>
          <w:sz w:val="32"/>
          <w:szCs w:val="32"/>
        </w:rPr>
        <w:t xml:space="preserve"> 电网企业及所属或者关联发电企业、售电企业应公平参与市场交易，不得有以下行为：</w:t>
      </w:r>
    </w:p>
    <w:p>
      <w:pPr>
        <w:ind w:firstLine="645"/>
        <w:rPr>
          <w:rFonts w:hint="eastAsia" w:ascii="仿宋_GB2312" w:hAnsi="仿宋" w:eastAsia="仿宋_GB2312"/>
          <w:sz w:val="32"/>
          <w:szCs w:val="32"/>
        </w:rPr>
      </w:pPr>
      <w:r>
        <w:rPr>
          <w:rFonts w:hint="eastAsia" w:ascii="仿宋_GB2312" w:hAnsi="仿宋" w:eastAsia="仿宋_GB2312"/>
          <w:sz w:val="32"/>
          <w:szCs w:val="32"/>
        </w:rPr>
        <w:t>（一）电网企业所属或者关联售电企业人、财、物、办公地点等未完全独立，电网企业的管理、营销、生产、技术等信息未与所属或者关联售电企业严格隔离；</w:t>
      </w:r>
    </w:p>
    <w:p>
      <w:pPr>
        <w:ind w:firstLine="645"/>
        <w:rPr>
          <w:rFonts w:hint="eastAsia" w:ascii="仿宋_GB2312" w:hAnsi="仿宋" w:eastAsia="仿宋_GB2312"/>
          <w:sz w:val="32"/>
          <w:szCs w:val="32"/>
        </w:rPr>
      </w:pPr>
      <w:r>
        <w:rPr>
          <w:rFonts w:hint="eastAsia" w:ascii="仿宋_GB2312" w:hAnsi="仿宋" w:eastAsia="仿宋_GB2312"/>
          <w:sz w:val="32"/>
          <w:szCs w:val="32"/>
        </w:rPr>
        <w:t>（二）拥有配电网运营权的售电企业，其配电业务与参与市场交易的售电业务未实现财务分离；</w:t>
      </w:r>
    </w:p>
    <w:p>
      <w:pPr>
        <w:ind w:firstLine="645"/>
        <w:rPr>
          <w:rFonts w:hint="eastAsia" w:ascii="仿宋_GB2312" w:hAnsi="仿宋" w:eastAsia="仿宋_GB2312"/>
          <w:sz w:val="32"/>
          <w:szCs w:val="32"/>
        </w:rPr>
      </w:pPr>
      <w:r>
        <w:rPr>
          <w:rFonts w:hint="eastAsia" w:ascii="仿宋_GB2312" w:hAnsi="仿宋" w:eastAsia="仿宋_GB2312"/>
          <w:sz w:val="32"/>
          <w:szCs w:val="32"/>
        </w:rPr>
        <w:t>（三）电网企业向所属或者关联发电企业、售电企业提供可能影响交易公平公正的市场交易相关信息；</w:t>
      </w:r>
    </w:p>
    <w:p>
      <w:pPr>
        <w:ind w:firstLine="645"/>
        <w:rPr>
          <w:rFonts w:hint="eastAsia" w:ascii="仿宋_GB2312" w:hAnsi="仿宋" w:eastAsia="仿宋_GB2312"/>
          <w:sz w:val="32"/>
          <w:szCs w:val="32"/>
        </w:rPr>
      </w:pPr>
      <w:r>
        <w:rPr>
          <w:rFonts w:hint="eastAsia" w:ascii="仿宋_GB2312" w:hAnsi="仿宋" w:eastAsia="仿宋_GB2312"/>
          <w:sz w:val="32"/>
          <w:szCs w:val="32"/>
        </w:rPr>
        <w:t>（四）电网企业为所属或者关联售电企业介绍用户或提供特定用户信息，限制非关联售电企业进入市场参与交易；</w:t>
      </w:r>
    </w:p>
    <w:p>
      <w:pPr>
        <w:ind w:firstLine="645"/>
        <w:rPr>
          <w:rFonts w:ascii="仿宋_GB2312" w:hAnsi="仿宋" w:eastAsia="仿宋_GB2312"/>
          <w:sz w:val="32"/>
          <w:szCs w:val="32"/>
        </w:rPr>
      </w:pPr>
      <w:r>
        <w:rPr>
          <w:rFonts w:hint="eastAsia" w:ascii="仿宋_GB2312" w:hAnsi="仿宋" w:eastAsia="仿宋_GB2312"/>
          <w:sz w:val="32"/>
          <w:szCs w:val="32"/>
        </w:rPr>
        <w:t>（五）其他影响电力市场公平竞争的行为。</w:t>
      </w:r>
    </w:p>
    <w:p>
      <w:pPr>
        <w:jc w:val="center"/>
        <w:rPr>
          <w:rFonts w:hint="eastAsia" w:asciiTheme="minorEastAsia" w:hAnsiTheme="minorEastAsia" w:eastAsiaTheme="minorEastAsia"/>
          <w:sz w:val="32"/>
          <w:szCs w:val="32"/>
          <w:lang w:eastAsia="zh-CN"/>
        </w:rPr>
      </w:pPr>
      <w:r>
        <w:rPr>
          <w:rFonts w:hint="eastAsia" w:asciiTheme="minorEastAsia" w:hAnsiTheme="minorEastAsia"/>
          <w:sz w:val="32"/>
          <w:szCs w:val="32"/>
        </w:rPr>
        <w:t>第六章 电力市场监控与干预监管</w:t>
      </w:r>
    </w:p>
    <w:p>
      <w:pPr>
        <w:ind w:firstLine="645"/>
        <w:rPr>
          <w:rFonts w:hint="eastAsia" w:ascii="仿宋_GB2312" w:hAnsi="仿宋" w:eastAsia="仿宋_GB2312"/>
          <w:sz w:val="32"/>
          <w:szCs w:val="32"/>
        </w:rPr>
      </w:pPr>
      <w:r>
        <w:rPr>
          <w:rFonts w:hint="eastAsia" w:ascii="仿宋_GB2312" w:hAnsi="仿宋" w:eastAsia="仿宋_GB2312"/>
          <w:b/>
          <w:sz w:val="32"/>
          <w:szCs w:val="32"/>
        </w:rPr>
        <w:t xml:space="preserve">第三十三条 </w:t>
      </w:r>
      <w:r>
        <w:rPr>
          <w:rFonts w:hint="eastAsia" w:ascii="仿宋_GB2312" w:hAnsi="仿宋" w:eastAsia="仿宋_GB2312"/>
          <w:sz w:val="32"/>
          <w:szCs w:val="32"/>
        </w:rPr>
        <w:t>电力市场运营机构应开展电力市场监控与分析，主要包含以下内容，经营主体和电网企业应当积极配合。</w:t>
      </w:r>
    </w:p>
    <w:p>
      <w:pPr>
        <w:ind w:firstLine="645"/>
        <w:rPr>
          <w:rFonts w:hint="eastAsia" w:ascii="仿宋_GB2312" w:hAnsi="仿宋" w:eastAsia="仿宋_GB2312"/>
          <w:sz w:val="32"/>
          <w:szCs w:val="32"/>
        </w:rPr>
      </w:pPr>
      <w:r>
        <w:rPr>
          <w:rFonts w:hint="eastAsia" w:ascii="仿宋_GB2312" w:hAnsi="仿宋" w:eastAsia="仿宋_GB2312"/>
          <w:sz w:val="32"/>
          <w:szCs w:val="32"/>
        </w:rPr>
        <w:t>（一）市场操纵力结构化指标；</w:t>
      </w:r>
    </w:p>
    <w:p>
      <w:pPr>
        <w:ind w:firstLine="645"/>
        <w:rPr>
          <w:rFonts w:hint="eastAsia" w:ascii="仿宋_GB2312" w:hAnsi="仿宋" w:eastAsia="仿宋_GB2312"/>
          <w:sz w:val="32"/>
          <w:szCs w:val="32"/>
        </w:rPr>
      </w:pPr>
      <w:r>
        <w:rPr>
          <w:rFonts w:hint="eastAsia" w:ascii="仿宋_GB2312" w:hAnsi="仿宋" w:eastAsia="仿宋_GB2312"/>
          <w:sz w:val="32"/>
          <w:szCs w:val="32"/>
        </w:rPr>
        <w:t>（二）市场交易申报量价情况，出清量价情况及发电机组运行状态情况；</w:t>
      </w:r>
    </w:p>
    <w:p>
      <w:pPr>
        <w:ind w:firstLine="645"/>
        <w:rPr>
          <w:rFonts w:hint="eastAsia" w:ascii="仿宋_GB2312" w:hAnsi="仿宋" w:eastAsia="仿宋_GB2312"/>
          <w:sz w:val="32"/>
          <w:szCs w:val="32"/>
        </w:rPr>
      </w:pPr>
      <w:r>
        <w:rPr>
          <w:rFonts w:hint="eastAsia" w:ascii="仿宋_GB2312" w:hAnsi="仿宋" w:eastAsia="仿宋_GB2312"/>
          <w:sz w:val="32"/>
          <w:szCs w:val="32"/>
        </w:rPr>
        <w:t>（三）各交易品种运行及价格衔接情况；</w:t>
      </w:r>
    </w:p>
    <w:p>
      <w:pPr>
        <w:ind w:firstLine="645"/>
        <w:rPr>
          <w:rFonts w:hint="eastAsia" w:ascii="仿宋_GB2312" w:hAnsi="仿宋" w:eastAsia="仿宋_GB2312"/>
          <w:sz w:val="32"/>
          <w:szCs w:val="32"/>
        </w:rPr>
      </w:pPr>
      <w:r>
        <w:rPr>
          <w:rFonts w:hint="eastAsia" w:ascii="仿宋_GB2312" w:hAnsi="仿宋" w:eastAsia="仿宋_GB2312"/>
          <w:sz w:val="32"/>
          <w:szCs w:val="32"/>
        </w:rPr>
        <w:t>（四）省内与省间市场衔接情况；</w:t>
      </w:r>
    </w:p>
    <w:p>
      <w:pPr>
        <w:ind w:firstLine="645"/>
        <w:rPr>
          <w:rFonts w:hint="eastAsia" w:ascii="仿宋_GB2312" w:hAnsi="仿宋" w:eastAsia="仿宋_GB2312"/>
          <w:sz w:val="32"/>
          <w:szCs w:val="32"/>
        </w:rPr>
      </w:pPr>
      <w:r>
        <w:rPr>
          <w:rFonts w:hint="eastAsia" w:ascii="仿宋_GB2312" w:hAnsi="仿宋" w:eastAsia="仿宋_GB2312"/>
          <w:sz w:val="32"/>
          <w:szCs w:val="32"/>
        </w:rPr>
        <w:t>（五）经营主体的交易信用；</w:t>
      </w:r>
    </w:p>
    <w:p>
      <w:pPr>
        <w:ind w:firstLine="645"/>
        <w:rPr>
          <w:rFonts w:hint="eastAsia" w:ascii="仿宋_GB2312" w:hAnsi="仿宋" w:eastAsia="仿宋_GB2312"/>
          <w:sz w:val="32"/>
          <w:szCs w:val="32"/>
        </w:rPr>
      </w:pPr>
      <w:r>
        <w:rPr>
          <w:rFonts w:hint="eastAsia" w:ascii="仿宋_GB2312" w:hAnsi="仿宋" w:eastAsia="仿宋_GB2312"/>
          <w:sz w:val="32"/>
          <w:szCs w:val="32"/>
        </w:rPr>
        <w:t>（六）市场规则执行和履约情况；</w:t>
      </w:r>
    </w:p>
    <w:p>
      <w:pPr>
        <w:ind w:firstLine="645"/>
        <w:rPr>
          <w:rFonts w:hint="eastAsia" w:ascii="仿宋_GB2312" w:hAnsi="仿宋" w:eastAsia="仿宋_GB2312"/>
          <w:sz w:val="32"/>
          <w:szCs w:val="32"/>
        </w:rPr>
      </w:pPr>
      <w:r>
        <w:rPr>
          <w:rFonts w:hint="eastAsia" w:ascii="仿宋_GB2312" w:hAnsi="仿宋" w:eastAsia="仿宋_GB2312"/>
          <w:sz w:val="32"/>
          <w:szCs w:val="32"/>
        </w:rPr>
        <w:t>（七）网络阻塞情况；</w:t>
      </w:r>
    </w:p>
    <w:p>
      <w:pPr>
        <w:ind w:firstLine="645"/>
        <w:rPr>
          <w:rFonts w:hint="eastAsia" w:ascii="仿宋_GB2312" w:hAnsi="仿宋" w:eastAsia="仿宋_GB2312"/>
          <w:sz w:val="32"/>
          <w:szCs w:val="32"/>
        </w:rPr>
      </w:pPr>
      <w:r>
        <w:rPr>
          <w:rFonts w:hint="eastAsia" w:ascii="仿宋_GB2312" w:hAnsi="仿宋" w:eastAsia="仿宋_GB2312"/>
          <w:sz w:val="32"/>
          <w:szCs w:val="32"/>
        </w:rPr>
        <w:t>（八）经营主体在市场中份额占比情况；</w:t>
      </w:r>
    </w:p>
    <w:p>
      <w:pPr>
        <w:ind w:firstLine="645"/>
        <w:rPr>
          <w:rFonts w:hint="eastAsia" w:ascii="仿宋_GB2312" w:hAnsi="仿宋" w:eastAsia="仿宋_GB2312"/>
          <w:sz w:val="32"/>
          <w:szCs w:val="32"/>
        </w:rPr>
      </w:pPr>
      <w:r>
        <w:rPr>
          <w:rFonts w:hint="eastAsia" w:ascii="仿宋_GB2312" w:hAnsi="仿宋" w:eastAsia="仿宋_GB2312"/>
          <w:sz w:val="32"/>
          <w:szCs w:val="32"/>
        </w:rPr>
        <w:t>（九）异常报价、异常市场行为等市场异常事件；</w:t>
      </w:r>
    </w:p>
    <w:p>
      <w:pPr>
        <w:ind w:firstLine="645"/>
        <w:rPr>
          <w:rFonts w:hint="eastAsia" w:ascii="仿宋_GB2312" w:hAnsi="仿宋" w:eastAsia="仿宋_GB2312"/>
          <w:sz w:val="32"/>
          <w:szCs w:val="32"/>
        </w:rPr>
      </w:pPr>
      <w:r>
        <w:rPr>
          <w:rFonts w:hint="eastAsia" w:ascii="仿宋_GB2312" w:hAnsi="仿宋" w:eastAsia="仿宋_GB2312"/>
          <w:sz w:val="32"/>
          <w:szCs w:val="32"/>
        </w:rPr>
        <w:t>（十）市场风险防控措施和风险评估情况；</w:t>
      </w:r>
    </w:p>
    <w:p>
      <w:pPr>
        <w:ind w:firstLine="645"/>
        <w:rPr>
          <w:rFonts w:hint="eastAsia" w:ascii="仿宋_GB2312" w:hAnsi="仿宋" w:eastAsia="仿宋_GB2312"/>
          <w:sz w:val="32"/>
          <w:szCs w:val="32"/>
        </w:rPr>
      </w:pPr>
      <w:r>
        <w:rPr>
          <w:rFonts w:hint="eastAsia" w:ascii="仿宋_GB2312" w:hAnsi="仿宋" w:eastAsia="仿宋_GB2312"/>
          <w:sz w:val="32"/>
          <w:szCs w:val="32"/>
        </w:rPr>
        <w:t>（十一）市场规则在执行过程中存在的问题以及市场规则修订建议；</w:t>
      </w:r>
    </w:p>
    <w:p>
      <w:pPr>
        <w:ind w:firstLine="645"/>
        <w:rPr>
          <w:rFonts w:hint="eastAsia" w:ascii="仿宋_GB2312" w:hAnsi="仿宋" w:eastAsia="仿宋_GB2312"/>
          <w:sz w:val="32"/>
          <w:szCs w:val="32"/>
        </w:rPr>
      </w:pPr>
      <w:r>
        <w:rPr>
          <w:rFonts w:hint="eastAsia" w:ascii="仿宋_GB2312" w:hAnsi="仿宋" w:eastAsia="仿宋_GB2312"/>
          <w:sz w:val="32"/>
          <w:szCs w:val="32"/>
        </w:rPr>
        <w:t>（十二）技术支持系统运行情况；</w:t>
      </w:r>
    </w:p>
    <w:p>
      <w:pPr>
        <w:ind w:firstLine="645"/>
        <w:rPr>
          <w:rFonts w:ascii="仿宋_GB2312" w:hAnsi="仿宋" w:eastAsia="仿宋_GB2312"/>
          <w:sz w:val="32"/>
          <w:szCs w:val="32"/>
        </w:rPr>
      </w:pPr>
      <w:r>
        <w:rPr>
          <w:rFonts w:hint="eastAsia" w:ascii="仿宋_GB2312" w:hAnsi="仿宋" w:eastAsia="仿宋_GB2312"/>
          <w:sz w:val="32"/>
          <w:szCs w:val="32"/>
        </w:rPr>
        <w:t>（十三）其他需要监控与分析的事项。</w:t>
      </w:r>
    </w:p>
    <w:p>
      <w:pPr>
        <w:ind w:firstLine="645"/>
        <w:rPr>
          <w:rFonts w:hint="eastAsia" w:ascii="仿宋_GB2312" w:hAnsi="仿宋" w:eastAsia="仿宋_GB2312"/>
          <w:sz w:val="32"/>
          <w:szCs w:val="32"/>
        </w:rPr>
      </w:pPr>
      <w:r>
        <w:rPr>
          <w:rFonts w:hint="eastAsia" w:ascii="仿宋_GB2312" w:hAnsi="仿宋" w:eastAsia="仿宋_GB2312"/>
          <w:b/>
          <w:sz w:val="32"/>
          <w:szCs w:val="32"/>
        </w:rPr>
        <w:t>第三十四条</w:t>
      </w:r>
      <w:r>
        <w:rPr>
          <w:rFonts w:hint="eastAsia" w:ascii="仿宋_GB2312" w:hAnsi="仿宋" w:eastAsia="仿宋_GB2312"/>
          <w:sz w:val="32"/>
          <w:szCs w:val="32"/>
        </w:rPr>
        <w:t xml:space="preserve"> 电力市场运营机构根据有关规定，履行市场运营、市场监控和风险防控等职责，按照“谁运营、谁防范，谁运营、谁监控”的原则，采取有效风险防控措施，加强对市场运营情况的监控分析，按月提交市场监控分析报告；当发现市场异常事件，应在1个工作日内向浙江能源监管办报告。</w:t>
      </w:r>
    </w:p>
    <w:p>
      <w:pPr>
        <w:ind w:firstLine="645"/>
        <w:rPr>
          <w:rFonts w:ascii="仿宋_GB2312" w:hAnsi="仿宋" w:eastAsia="仿宋_GB2312"/>
          <w:sz w:val="32"/>
          <w:szCs w:val="32"/>
        </w:rPr>
      </w:pPr>
      <w:r>
        <w:rPr>
          <w:rFonts w:hint="eastAsia" w:ascii="仿宋_GB2312" w:hAnsi="仿宋" w:eastAsia="仿宋_GB2312"/>
          <w:sz w:val="32"/>
          <w:szCs w:val="32"/>
        </w:rPr>
        <w:t>浙江能源监管办可以采用穿透式监管等方式，对电力市场运行情况和电力市场运营机构履责情况进行监管，可以组织第三方机构进行电力市场业务专业评估。电力市场运营机构应为第三方机构履责提供必要保障，第三方机构依法依规承担信息保密义务。</w:t>
      </w:r>
    </w:p>
    <w:p>
      <w:pPr>
        <w:ind w:firstLine="645"/>
        <w:rPr>
          <w:rFonts w:ascii="仿宋_GB2312" w:hAnsi="仿宋" w:eastAsia="仿宋_GB2312"/>
          <w:sz w:val="32"/>
          <w:szCs w:val="32"/>
        </w:rPr>
      </w:pPr>
      <w:r>
        <w:rPr>
          <w:rFonts w:hint="eastAsia" w:ascii="仿宋_GB2312" w:hAnsi="仿宋" w:eastAsia="仿宋_GB2312"/>
          <w:b/>
          <w:sz w:val="32"/>
          <w:szCs w:val="32"/>
        </w:rPr>
        <w:t xml:space="preserve">第三十五条 </w:t>
      </w:r>
      <w:r>
        <w:rPr>
          <w:rFonts w:hint="eastAsia" w:ascii="仿宋_GB2312" w:hAnsi="仿宋" w:eastAsia="仿宋_GB2312"/>
          <w:sz w:val="32"/>
          <w:szCs w:val="32"/>
        </w:rPr>
        <w:t>浙江能源监管办参考电力市场运营机构和第三方机构的评估分析报告，对市场违规行为依法开展调查处理。</w:t>
      </w:r>
    </w:p>
    <w:p>
      <w:pPr>
        <w:ind w:firstLine="645"/>
        <w:rPr>
          <w:rFonts w:hint="eastAsia" w:ascii="仿宋_GB2312" w:hAnsi="仿宋" w:eastAsia="仿宋_GB2312"/>
          <w:sz w:val="32"/>
          <w:szCs w:val="32"/>
        </w:rPr>
      </w:pPr>
      <w:r>
        <w:rPr>
          <w:rFonts w:hint="eastAsia" w:ascii="仿宋_GB2312" w:hAnsi="仿宋" w:eastAsia="仿宋_GB2312"/>
          <w:b/>
          <w:sz w:val="32"/>
          <w:szCs w:val="32"/>
        </w:rPr>
        <w:t>第三十</w:t>
      </w:r>
      <w:r>
        <w:rPr>
          <w:rFonts w:hint="eastAsia" w:ascii="仿宋_GB2312" w:hAnsi="仿宋" w:eastAsia="仿宋_GB2312"/>
          <w:b/>
          <w:sz w:val="32"/>
          <w:szCs w:val="32"/>
          <w:lang w:val="en-US" w:eastAsia="zh-CN"/>
        </w:rPr>
        <w:t>六</w:t>
      </w:r>
      <w:r>
        <w:rPr>
          <w:rFonts w:hint="eastAsia" w:ascii="仿宋_GB2312" w:hAnsi="仿宋" w:eastAsia="仿宋_GB2312"/>
          <w:b/>
          <w:sz w:val="32"/>
          <w:szCs w:val="32"/>
        </w:rPr>
        <w:t xml:space="preserve">条 </w:t>
      </w:r>
      <w:r>
        <w:rPr>
          <w:rFonts w:hint="eastAsia" w:ascii="仿宋_GB2312" w:hAnsi="仿宋" w:eastAsia="仿宋_GB2312"/>
          <w:sz w:val="32"/>
          <w:szCs w:val="32"/>
        </w:rPr>
        <w:t>对电力市场运营机构实施电力市场干预的情况实施监管。</w:t>
      </w:r>
    </w:p>
    <w:p>
      <w:pPr>
        <w:ind w:firstLine="645"/>
        <w:rPr>
          <w:rFonts w:hint="eastAsia" w:ascii="仿宋_GB2312" w:hAnsi="仿宋" w:eastAsia="仿宋_GB2312"/>
          <w:sz w:val="32"/>
          <w:szCs w:val="32"/>
        </w:rPr>
      </w:pPr>
      <w:r>
        <w:rPr>
          <w:rFonts w:hint="eastAsia" w:ascii="仿宋_GB2312" w:hAnsi="仿宋" w:eastAsia="仿宋_GB2312"/>
          <w:sz w:val="32"/>
          <w:szCs w:val="32"/>
        </w:rPr>
        <w:t>（一）电力市场运营机构应按照国家和省市场相关规则启动条件及要求，实施电力市场干预工作，干预后应向电力交易主体公布干预原因。</w:t>
      </w:r>
    </w:p>
    <w:p>
      <w:pPr>
        <w:ind w:firstLine="645"/>
        <w:rPr>
          <w:rFonts w:hint="eastAsia" w:ascii="仿宋_GB2312" w:hAnsi="仿宋" w:eastAsia="仿宋_GB2312"/>
          <w:sz w:val="32"/>
          <w:szCs w:val="32"/>
        </w:rPr>
      </w:pPr>
      <w:r>
        <w:rPr>
          <w:rFonts w:hint="eastAsia" w:ascii="仿宋_GB2312" w:hAnsi="仿宋" w:eastAsia="仿宋_GB2312"/>
          <w:sz w:val="32"/>
          <w:szCs w:val="32"/>
        </w:rPr>
        <w:t>（二）干预或者中止电力市场期间，电力市场运营机构应当采取措施保证电力系统安全，记录干预或者中止过程，并向浙江能源监管办、省发展改革委（能源局）报告。</w:t>
      </w:r>
    </w:p>
    <w:p>
      <w:pPr>
        <w:ind w:firstLine="645"/>
        <w:rPr>
          <w:rFonts w:hint="eastAsia" w:ascii="仿宋_GB2312" w:hAnsi="仿宋" w:eastAsia="仿宋_GB2312"/>
          <w:sz w:val="32"/>
          <w:szCs w:val="32"/>
        </w:rPr>
      </w:pPr>
      <w:r>
        <w:rPr>
          <w:rFonts w:hint="eastAsia" w:ascii="仿宋_GB2312" w:hAnsi="仿宋" w:eastAsia="仿宋_GB2312"/>
          <w:sz w:val="32"/>
          <w:szCs w:val="32"/>
        </w:rPr>
        <w:t>（三）电力市场运营机构实施干预措施的，应当严格遵守干预规则，不得滥用干预权限。干预或中止结束后，应当及时恢复正常市场运行，并向浙江能源监管办、省发展改革委（能源局）提交干预情况报告。</w:t>
      </w:r>
    </w:p>
    <w:p>
      <w:pPr>
        <w:ind w:firstLine="645"/>
        <w:rPr>
          <w:rFonts w:ascii="仿宋_GB2312" w:hAnsi="仿宋" w:eastAsia="仿宋_GB2312"/>
          <w:sz w:val="32"/>
          <w:szCs w:val="32"/>
        </w:rPr>
      </w:pPr>
      <w:r>
        <w:rPr>
          <w:rFonts w:hint="eastAsia" w:ascii="仿宋_GB2312" w:hAnsi="仿宋" w:eastAsia="仿宋_GB2312"/>
          <w:sz w:val="32"/>
          <w:szCs w:val="32"/>
        </w:rPr>
        <w:t>（四）电力市场运营机构建立市场干预记录管理机制，明确记录保存方式，相关记录报浙江能源监管办、省发展改革委（能源局）备案。</w:t>
      </w:r>
    </w:p>
    <w:p>
      <w:pPr>
        <w:jc w:val="center"/>
        <w:rPr>
          <w:rFonts w:asciiTheme="minorEastAsia" w:hAnsiTheme="minorEastAsia"/>
          <w:sz w:val="32"/>
          <w:szCs w:val="32"/>
        </w:rPr>
      </w:pPr>
      <w:r>
        <w:rPr>
          <w:rFonts w:hint="eastAsia" w:asciiTheme="minorEastAsia" w:hAnsiTheme="minorEastAsia"/>
          <w:sz w:val="32"/>
          <w:szCs w:val="32"/>
        </w:rPr>
        <w:t>第七章 电力市场争议处理</w:t>
      </w:r>
    </w:p>
    <w:p>
      <w:pPr>
        <w:ind w:firstLine="645"/>
        <w:rPr>
          <w:rFonts w:ascii="仿宋_GB2312" w:hAnsi="仿宋" w:eastAsia="仿宋_GB2312"/>
          <w:sz w:val="32"/>
          <w:szCs w:val="32"/>
        </w:rPr>
      </w:pPr>
      <w:r>
        <w:rPr>
          <w:rFonts w:hint="eastAsia" w:ascii="仿宋_GB2312" w:hAnsi="仿宋" w:eastAsia="仿宋_GB2312"/>
          <w:b/>
          <w:sz w:val="32"/>
          <w:szCs w:val="32"/>
        </w:rPr>
        <w:t>第三十七条</w:t>
      </w:r>
      <w:r>
        <w:rPr>
          <w:rFonts w:hint="eastAsia" w:ascii="仿宋_GB2312" w:hAnsi="仿宋" w:eastAsia="仿宋_GB2312"/>
          <w:sz w:val="32"/>
          <w:szCs w:val="32"/>
        </w:rPr>
        <w:t xml:space="preserve"> 市场成员之间因市场交易、并网互联等发生争议且达不成一致意见时，可先通过浙江电力市场管理委员会、浙江电力市场纠纷人民调解委员会等进行调解，也可向浙江能源监管办申请行政调解，或按规定通过仲裁、司法等途径解决争议。浙江能源监管办依照《电力市场监管办法》《电力并网互联争议处理规定》等进行处理。</w:t>
      </w:r>
    </w:p>
    <w:p>
      <w:pPr>
        <w:ind w:firstLine="645"/>
        <w:rPr>
          <w:rFonts w:ascii="仿宋_GB2312" w:hAnsi="仿宋" w:eastAsia="仿宋_GB2312"/>
          <w:sz w:val="32"/>
          <w:szCs w:val="32"/>
        </w:rPr>
      </w:pPr>
      <w:r>
        <w:rPr>
          <w:rFonts w:hint="eastAsia" w:ascii="仿宋_GB2312" w:hAnsi="仿宋" w:eastAsia="仿宋_GB2312"/>
          <w:b/>
          <w:sz w:val="32"/>
          <w:szCs w:val="32"/>
        </w:rPr>
        <w:t>第三十八条</w:t>
      </w:r>
      <w:r>
        <w:rPr>
          <w:rFonts w:hint="eastAsia" w:ascii="仿宋_GB2312" w:hAnsi="仿宋" w:eastAsia="仿宋_GB2312"/>
          <w:sz w:val="32"/>
          <w:szCs w:val="32"/>
        </w:rPr>
        <w:t xml:space="preserve"> 市场成员应按照有关规定时间提出争议调解申请，有义务为浙江能源监管办提供争议处理所需的数据和材料。承担调解工作的相关人员应遵守保密规定，不得泄露因调解工作知悉的商业秘密。</w:t>
      </w:r>
    </w:p>
    <w:p>
      <w:pPr>
        <w:jc w:val="center"/>
        <w:rPr>
          <w:rFonts w:asciiTheme="minorEastAsia" w:hAnsiTheme="minorEastAsia"/>
          <w:sz w:val="32"/>
          <w:szCs w:val="32"/>
        </w:rPr>
      </w:pPr>
      <w:r>
        <w:rPr>
          <w:rFonts w:hint="eastAsia" w:asciiTheme="minorEastAsia" w:hAnsiTheme="minorEastAsia"/>
          <w:sz w:val="32"/>
          <w:szCs w:val="32"/>
        </w:rPr>
        <w:t>第八章 信息公开、披露及报送</w:t>
      </w:r>
    </w:p>
    <w:p>
      <w:pPr>
        <w:ind w:firstLine="645"/>
        <w:rPr>
          <w:rFonts w:ascii="仿宋_GB2312" w:hAnsi="仿宋" w:eastAsia="仿宋_GB2312"/>
          <w:sz w:val="32"/>
          <w:szCs w:val="32"/>
        </w:rPr>
      </w:pPr>
      <w:r>
        <w:rPr>
          <w:rFonts w:hint="eastAsia" w:ascii="仿宋_GB2312" w:hAnsi="仿宋" w:eastAsia="仿宋_GB2312"/>
          <w:b/>
          <w:sz w:val="32"/>
          <w:szCs w:val="32"/>
        </w:rPr>
        <w:t xml:space="preserve">第三十九条 </w:t>
      </w:r>
      <w:r>
        <w:rPr>
          <w:rFonts w:hint="eastAsia" w:ascii="仿宋_GB2312" w:hAnsi="仿宋" w:eastAsia="仿宋_GB2312"/>
          <w:sz w:val="32"/>
          <w:szCs w:val="32"/>
        </w:rPr>
        <w:t>市场成员应按照《电力企业信息报送规定》、《电力企业信息披露规定》以及《电力市场信息披露基本规则》等有关规定，遵循真实、及时、透明的原则披露和报送信息。市场运营机构应当公平对待经营主体，无歧视披露有关信息，披露方式应当便于经营主体使用。</w:t>
      </w:r>
    </w:p>
    <w:p>
      <w:pPr>
        <w:ind w:firstLine="645"/>
        <w:rPr>
          <w:rFonts w:ascii="仿宋_GB2312" w:hAnsi="仿宋" w:eastAsia="仿宋_GB2312"/>
          <w:sz w:val="32"/>
          <w:szCs w:val="32"/>
        </w:rPr>
      </w:pPr>
      <w:r>
        <w:rPr>
          <w:rFonts w:hint="eastAsia" w:ascii="仿宋_GB2312" w:hAnsi="仿宋" w:eastAsia="仿宋_GB2312"/>
          <w:b/>
          <w:sz w:val="32"/>
          <w:szCs w:val="32"/>
        </w:rPr>
        <w:t>第四十条</w:t>
      </w:r>
      <w:r>
        <w:rPr>
          <w:rFonts w:hint="eastAsia" w:ascii="仿宋_GB2312" w:hAnsi="仿宋" w:eastAsia="仿宋_GB2312"/>
          <w:sz w:val="32"/>
          <w:szCs w:val="32"/>
        </w:rPr>
        <w:t xml:space="preserve"> 电力交易机构负责管理和维护电力交易平台，并为市场成员通过电力交易平台披露信息提供便利。市场成员应及时、真实、准确和完整地通过电力交易平台披露相关信息，并对所提供信息的真实性和准确性负责。</w:t>
      </w:r>
    </w:p>
    <w:p>
      <w:pPr>
        <w:ind w:firstLine="645"/>
        <w:rPr>
          <w:rFonts w:ascii="仿宋_GB2312" w:hAnsi="仿宋" w:eastAsia="仿宋_GB2312"/>
          <w:sz w:val="32"/>
          <w:szCs w:val="32"/>
        </w:rPr>
      </w:pPr>
      <w:r>
        <w:rPr>
          <w:rFonts w:hint="eastAsia" w:ascii="仿宋_GB2312" w:hAnsi="仿宋" w:eastAsia="仿宋_GB2312"/>
          <w:b/>
          <w:sz w:val="32"/>
          <w:szCs w:val="32"/>
        </w:rPr>
        <w:t xml:space="preserve">第四十一条 </w:t>
      </w:r>
      <w:r>
        <w:rPr>
          <w:rFonts w:hint="eastAsia" w:ascii="仿宋_GB2312" w:hAnsi="仿宋" w:eastAsia="仿宋_GB2312"/>
          <w:sz w:val="32"/>
          <w:szCs w:val="32"/>
        </w:rPr>
        <w:t>浙江能源监管办、省发展改革委（能源局）、市场成员应当自觉遵守电力市场交易信息的保密规定，完备保密措施和制度，不得泄露影响公平竞争和涉及用户隐私的相关信息。</w:t>
      </w:r>
    </w:p>
    <w:p>
      <w:pPr>
        <w:jc w:val="center"/>
        <w:rPr>
          <w:rFonts w:asciiTheme="minorEastAsia" w:hAnsiTheme="minorEastAsia"/>
          <w:sz w:val="32"/>
          <w:szCs w:val="32"/>
        </w:rPr>
      </w:pPr>
      <w:r>
        <w:rPr>
          <w:rFonts w:hint="eastAsia" w:asciiTheme="minorEastAsia" w:hAnsiTheme="minorEastAsia"/>
          <w:sz w:val="32"/>
          <w:szCs w:val="32"/>
        </w:rPr>
        <w:t>第九章 监管措施</w:t>
      </w:r>
    </w:p>
    <w:p>
      <w:pPr>
        <w:ind w:firstLine="645"/>
        <w:rPr>
          <w:rFonts w:ascii="仿宋_GB2312" w:hAnsi="仿宋" w:eastAsia="仿宋_GB2312"/>
          <w:sz w:val="32"/>
          <w:szCs w:val="32"/>
        </w:rPr>
      </w:pPr>
      <w:r>
        <w:rPr>
          <w:rFonts w:hint="eastAsia" w:ascii="仿宋_GB2312" w:hAnsi="仿宋" w:eastAsia="仿宋_GB2312"/>
          <w:b/>
          <w:sz w:val="32"/>
          <w:szCs w:val="32"/>
        </w:rPr>
        <w:t>第四十二条</w:t>
      </w:r>
      <w:r>
        <w:rPr>
          <w:rFonts w:hint="eastAsia" w:ascii="仿宋_GB2312" w:hAnsi="仿宋" w:eastAsia="仿宋_GB2312"/>
          <w:sz w:val="32"/>
          <w:szCs w:val="32"/>
        </w:rPr>
        <w:t xml:space="preserve"> 浙江能源监管办可以依照《电力监管条例》等法律、法规规定的监管措施对相关市场成员进行监管，并作出相应处理。</w:t>
      </w:r>
    </w:p>
    <w:p>
      <w:pPr>
        <w:ind w:firstLine="645"/>
        <w:rPr>
          <w:rFonts w:ascii="仿宋_GB2312" w:hAnsi="仿宋" w:eastAsia="仿宋_GB2312"/>
          <w:sz w:val="32"/>
          <w:szCs w:val="32"/>
        </w:rPr>
      </w:pPr>
      <w:r>
        <w:rPr>
          <w:rFonts w:hint="eastAsia" w:ascii="仿宋_GB2312" w:hAnsi="仿宋" w:eastAsia="仿宋_GB2312"/>
          <w:b/>
          <w:sz w:val="32"/>
          <w:szCs w:val="32"/>
        </w:rPr>
        <w:t>第四十三条</w:t>
      </w:r>
      <w:r>
        <w:rPr>
          <w:rFonts w:hint="eastAsia" w:ascii="仿宋_GB2312" w:hAnsi="仿宋" w:eastAsia="仿宋_GB2312"/>
          <w:sz w:val="32"/>
          <w:szCs w:val="32"/>
        </w:rPr>
        <w:t xml:space="preserve"> 浙江能源监管办根据履行监管职责的需要，要求相关市场成员报送与监管事项有关的文件、数据等资料的，市场成员应当按有关规定及要求如实提供。浙江能源监管办根据工作实际，可安排电力市场运营机构具体负责文件、资料的收集、整理和报送等工作。从事监管工作的人员应按规定妥善保管相关资料，涉密文件的管理应符合有关保密规定要求。</w:t>
      </w:r>
    </w:p>
    <w:p>
      <w:pPr>
        <w:ind w:firstLine="645"/>
        <w:rPr>
          <w:rFonts w:ascii="仿宋_GB2312" w:hAnsi="仿宋" w:eastAsia="仿宋_GB2312"/>
          <w:sz w:val="32"/>
          <w:szCs w:val="32"/>
        </w:rPr>
      </w:pPr>
      <w:r>
        <w:rPr>
          <w:rFonts w:hint="eastAsia" w:ascii="仿宋_GB2312" w:hAnsi="仿宋" w:eastAsia="仿宋_GB2312"/>
          <w:b/>
          <w:sz w:val="32"/>
          <w:szCs w:val="32"/>
        </w:rPr>
        <w:t xml:space="preserve">第四十四条 </w:t>
      </w:r>
      <w:r>
        <w:rPr>
          <w:rFonts w:hint="eastAsia" w:ascii="仿宋_GB2312" w:hAnsi="仿宋" w:eastAsia="仿宋_GB2312"/>
          <w:sz w:val="32"/>
          <w:szCs w:val="32"/>
        </w:rPr>
        <w:t>浙江能源监管办履行监管职责时，有权要求电网企业、电力市场运营机构将与监管相关的信息接入电力监管信息系统或者对浙江能源监管办开放相关功能模块。电网企业、电力市场运营机构应当在满足信息安全和保密要求的前提下，按照规定将与监管相关的信息接入电力监管信息系统。</w:t>
      </w:r>
    </w:p>
    <w:p>
      <w:pPr>
        <w:ind w:firstLine="645"/>
        <w:rPr>
          <w:rFonts w:ascii="仿宋_GB2312" w:hAnsi="仿宋" w:eastAsia="仿宋_GB2312"/>
          <w:sz w:val="32"/>
          <w:szCs w:val="32"/>
        </w:rPr>
      </w:pPr>
      <w:r>
        <w:rPr>
          <w:rFonts w:hint="eastAsia" w:ascii="仿宋_GB2312" w:hAnsi="仿宋" w:eastAsia="仿宋_GB2312"/>
          <w:b/>
          <w:sz w:val="32"/>
          <w:szCs w:val="32"/>
        </w:rPr>
        <w:t xml:space="preserve">第四十五条 </w:t>
      </w:r>
      <w:r>
        <w:rPr>
          <w:rFonts w:hint="eastAsia" w:ascii="仿宋_GB2312" w:hAnsi="仿宋" w:eastAsia="仿宋_GB2312"/>
          <w:sz w:val="32"/>
          <w:szCs w:val="32"/>
        </w:rPr>
        <w:t>浙江能源监管办可以责令市场成员按照国家有关电力监管规章、规则等规定如实披露有关信息。</w:t>
      </w:r>
    </w:p>
    <w:p>
      <w:pPr>
        <w:ind w:firstLine="645"/>
        <w:rPr>
          <w:rFonts w:hint="eastAsia" w:ascii="仿宋_GB2312" w:hAnsi="仿宋" w:eastAsia="仿宋_GB2312"/>
          <w:sz w:val="32"/>
          <w:szCs w:val="32"/>
        </w:rPr>
      </w:pPr>
      <w:r>
        <w:rPr>
          <w:rFonts w:hint="eastAsia" w:ascii="仿宋_GB2312" w:hAnsi="仿宋" w:eastAsia="仿宋_GB2312"/>
          <w:b/>
          <w:sz w:val="32"/>
          <w:szCs w:val="32"/>
        </w:rPr>
        <w:t>第四十六条</w:t>
      </w:r>
      <w:r>
        <w:rPr>
          <w:rFonts w:hint="eastAsia" w:ascii="仿宋_GB2312" w:hAnsi="仿宋" w:eastAsia="仿宋_GB2312"/>
          <w:sz w:val="32"/>
          <w:szCs w:val="32"/>
        </w:rPr>
        <w:t xml:space="preserve"> 浙江能源监管办依法履行职责，可以采取下列措施，进行现场检查：</w:t>
      </w:r>
    </w:p>
    <w:p>
      <w:pPr>
        <w:ind w:firstLine="645"/>
        <w:rPr>
          <w:rFonts w:hint="eastAsia" w:ascii="仿宋_GB2312" w:hAnsi="仿宋" w:eastAsia="仿宋_GB2312"/>
          <w:sz w:val="32"/>
          <w:szCs w:val="32"/>
        </w:rPr>
      </w:pPr>
      <w:r>
        <w:rPr>
          <w:rFonts w:hint="eastAsia" w:ascii="仿宋_GB2312" w:hAnsi="仿宋" w:eastAsia="仿宋_GB2312"/>
          <w:sz w:val="32"/>
          <w:szCs w:val="32"/>
        </w:rPr>
        <w:t>（一）进入市场成员工作场所进行检查；</w:t>
      </w:r>
    </w:p>
    <w:p>
      <w:pPr>
        <w:ind w:firstLine="645"/>
        <w:rPr>
          <w:rFonts w:hint="eastAsia" w:ascii="仿宋_GB2312" w:hAnsi="仿宋" w:eastAsia="仿宋_GB2312"/>
          <w:sz w:val="32"/>
          <w:szCs w:val="32"/>
        </w:rPr>
      </w:pPr>
      <w:r>
        <w:rPr>
          <w:rFonts w:hint="eastAsia" w:ascii="仿宋_GB2312" w:hAnsi="仿宋" w:eastAsia="仿宋_GB2312"/>
          <w:sz w:val="32"/>
          <w:szCs w:val="32"/>
        </w:rPr>
        <w:t>（二）询问市场成员单位的工作人员，要求其对有关检查事项作出说明；</w:t>
      </w:r>
    </w:p>
    <w:p>
      <w:pPr>
        <w:ind w:firstLine="645"/>
        <w:rPr>
          <w:rFonts w:hint="eastAsia" w:ascii="仿宋_GB2312" w:hAnsi="仿宋" w:eastAsia="仿宋_GB2312"/>
          <w:sz w:val="32"/>
          <w:szCs w:val="32"/>
        </w:rPr>
      </w:pPr>
      <w:r>
        <w:rPr>
          <w:rFonts w:hint="eastAsia" w:ascii="仿宋_GB2312" w:hAnsi="仿宋" w:eastAsia="仿宋_GB2312"/>
          <w:sz w:val="32"/>
          <w:szCs w:val="32"/>
        </w:rPr>
        <w:t>（三）查阅、复制与检查事项有关的文件、资料、记录、业务函电、通信信息、电子数据等，对可能被转移、隐匿、损毁的文件、资料予以封存；</w:t>
      </w:r>
    </w:p>
    <w:p>
      <w:pPr>
        <w:ind w:firstLine="645"/>
        <w:rPr>
          <w:rFonts w:ascii="仿宋_GB2312" w:hAnsi="仿宋" w:eastAsia="仿宋_GB2312"/>
          <w:sz w:val="32"/>
          <w:szCs w:val="32"/>
        </w:rPr>
      </w:pPr>
      <w:r>
        <w:rPr>
          <w:rFonts w:hint="eastAsia" w:ascii="仿宋_GB2312" w:hAnsi="仿宋" w:eastAsia="仿宋_GB2312"/>
          <w:sz w:val="32"/>
          <w:szCs w:val="32"/>
        </w:rPr>
        <w:t>（四）对检查中发现的违法行为，有权当场予以纠正或者要求限期改正。</w:t>
      </w:r>
    </w:p>
    <w:p>
      <w:pPr>
        <w:ind w:firstLine="645"/>
        <w:rPr>
          <w:rFonts w:ascii="仿宋_GB2312" w:hAnsi="仿宋" w:eastAsia="仿宋_GB2312"/>
          <w:sz w:val="32"/>
          <w:szCs w:val="32"/>
        </w:rPr>
      </w:pPr>
      <w:r>
        <w:rPr>
          <w:rFonts w:hint="eastAsia" w:ascii="仿宋_GB2312" w:hAnsi="仿宋" w:eastAsia="仿宋_GB2312"/>
          <w:b/>
          <w:sz w:val="32"/>
          <w:szCs w:val="32"/>
        </w:rPr>
        <w:t>第四十七条</w:t>
      </w:r>
      <w:r>
        <w:rPr>
          <w:rFonts w:hint="eastAsia" w:ascii="仿宋_GB2312" w:hAnsi="仿宋" w:eastAsia="仿宋_GB2312"/>
          <w:sz w:val="32"/>
          <w:szCs w:val="32"/>
        </w:rPr>
        <w:t xml:space="preserve"> 市场成员违反本办法有关规定的，浙江能源监管办可以对其采取监管约谈、监管通报、责令改正、出具监管意见、行政处罚等监管措施，并记入信用档案。</w:t>
      </w:r>
    </w:p>
    <w:p>
      <w:pPr>
        <w:ind w:firstLine="645"/>
        <w:rPr>
          <w:rFonts w:ascii="仿宋_GB2312" w:hAnsi="仿宋" w:eastAsia="仿宋_GB2312"/>
          <w:sz w:val="32"/>
          <w:szCs w:val="32"/>
        </w:rPr>
      </w:pPr>
      <w:r>
        <w:rPr>
          <w:rFonts w:hint="eastAsia" w:ascii="仿宋_GB2312" w:hAnsi="仿宋" w:eastAsia="仿宋_GB2312"/>
          <w:b/>
          <w:sz w:val="32"/>
          <w:szCs w:val="32"/>
        </w:rPr>
        <w:t xml:space="preserve">第四十八条 </w:t>
      </w:r>
      <w:r>
        <w:rPr>
          <w:rFonts w:hint="eastAsia" w:ascii="仿宋_GB2312" w:hAnsi="仿宋" w:eastAsia="仿宋_GB2312"/>
          <w:sz w:val="32"/>
          <w:szCs w:val="32"/>
        </w:rPr>
        <w:t>浙江能源监管办对于拒不履约、恶意欠费、滥用市场操纵力、不良交易行为、电网开放歧视、未按规定披露信息等失信行为，在市场成员内部进行通报，并向社会公布。对于严重失信的经营主体，依法依规列入“黑名单”管理，实施信用约束、联合惩戒，实施与其失信程度相对应的分级分类监管。严重失信并造成严重后果的，可以限制其参与交易或强制退出市场。</w:t>
      </w:r>
    </w:p>
    <w:p>
      <w:pPr>
        <w:ind w:firstLine="645"/>
        <w:rPr>
          <w:rFonts w:ascii="仿宋_GB2312" w:hAnsi="仿宋" w:eastAsia="仿宋_GB2312"/>
          <w:sz w:val="32"/>
          <w:szCs w:val="32"/>
        </w:rPr>
      </w:pPr>
      <w:r>
        <w:rPr>
          <w:rFonts w:hint="eastAsia" w:ascii="仿宋_GB2312" w:hAnsi="仿宋" w:eastAsia="仿宋_GB2312"/>
          <w:b/>
          <w:sz w:val="32"/>
          <w:szCs w:val="32"/>
        </w:rPr>
        <w:t>第四十九条</w:t>
      </w:r>
      <w:r>
        <w:rPr>
          <w:rFonts w:hint="eastAsia" w:ascii="仿宋_GB2312" w:hAnsi="仿宋" w:eastAsia="仿宋_GB2312"/>
          <w:sz w:val="32"/>
          <w:szCs w:val="32"/>
        </w:rPr>
        <w:t xml:space="preserve"> 浙江能源监管办对市场成员违反有关电力监管的法律、行政法规或者有关电力监管规章、规则，损害社会公共利益的行为及其处理情况，可以向社会公布。</w:t>
      </w:r>
    </w:p>
    <w:p>
      <w:pPr>
        <w:jc w:val="center"/>
        <w:rPr>
          <w:rFonts w:asciiTheme="minorEastAsia" w:hAnsiTheme="minorEastAsia"/>
          <w:sz w:val="32"/>
          <w:szCs w:val="32"/>
        </w:rPr>
      </w:pPr>
      <w:r>
        <w:rPr>
          <w:rFonts w:hint="eastAsia" w:asciiTheme="minorEastAsia" w:hAnsiTheme="minorEastAsia"/>
          <w:sz w:val="32"/>
          <w:szCs w:val="32"/>
        </w:rPr>
        <w:t>第十章 法律责任</w:t>
      </w:r>
      <w:bookmarkStart w:id="0" w:name="_GoBack"/>
      <w:bookmarkEnd w:id="0"/>
    </w:p>
    <w:p>
      <w:pPr>
        <w:ind w:firstLine="645"/>
        <w:rPr>
          <w:rFonts w:ascii="仿宋_GB2312" w:hAnsi="仿宋" w:eastAsia="仿宋_GB2312"/>
          <w:sz w:val="32"/>
          <w:szCs w:val="32"/>
        </w:rPr>
      </w:pPr>
      <w:r>
        <w:rPr>
          <w:rFonts w:ascii="仿宋_GB2312" w:hAnsi="仿宋" w:eastAsia="仿宋_GB2312"/>
          <w:b/>
          <w:sz w:val="32"/>
          <w:szCs w:val="32"/>
        </w:rPr>
        <w:t>第</w:t>
      </w:r>
      <w:r>
        <w:rPr>
          <w:rFonts w:hint="eastAsia" w:ascii="仿宋_GB2312" w:hAnsi="仿宋" w:eastAsia="仿宋_GB2312"/>
          <w:b/>
          <w:sz w:val="32"/>
          <w:szCs w:val="32"/>
        </w:rPr>
        <w:t>五十</w:t>
      </w:r>
      <w:r>
        <w:rPr>
          <w:rFonts w:ascii="仿宋_GB2312" w:hAnsi="仿宋" w:eastAsia="仿宋_GB2312"/>
          <w:b/>
          <w:sz w:val="32"/>
          <w:szCs w:val="32"/>
        </w:rPr>
        <w:t>条</w:t>
      </w:r>
      <w:r>
        <w:rPr>
          <w:rFonts w:hint="eastAsia" w:ascii="仿宋_GB2312" w:hAnsi="仿宋" w:eastAsia="仿宋_GB2312"/>
          <w:b/>
          <w:sz w:val="32"/>
          <w:szCs w:val="32"/>
        </w:rPr>
        <w:t xml:space="preserve"> </w:t>
      </w:r>
      <w:r>
        <w:rPr>
          <w:rFonts w:hint="eastAsia" w:ascii="仿宋_GB2312" w:hAnsi="仿宋" w:eastAsia="仿宋_GB2312"/>
          <w:sz w:val="32"/>
          <w:szCs w:val="32"/>
        </w:rPr>
        <w:t>浙江能源监管办从事监管工作的人员违反有关规定的，按照《电力监管条例》第二十九条的规定处理。</w:t>
      </w:r>
    </w:p>
    <w:p>
      <w:pPr>
        <w:ind w:firstLine="645"/>
        <w:rPr>
          <w:rFonts w:hint="eastAsia" w:ascii="仿宋_GB2312" w:hAnsi="仿宋" w:eastAsia="仿宋_GB2312"/>
          <w:sz w:val="32"/>
          <w:szCs w:val="32"/>
        </w:rPr>
      </w:pPr>
      <w:r>
        <w:rPr>
          <w:rFonts w:ascii="仿宋_GB2312" w:hAnsi="仿宋" w:eastAsia="仿宋_GB2312"/>
          <w:b/>
          <w:sz w:val="32"/>
          <w:szCs w:val="32"/>
        </w:rPr>
        <w:t>第</w:t>
      </w:r>
      <w:r>
        <w:rPr>
          <w:rFonts w:hint="eastAsia" w:ascii="仿宋_GB2312" w:hAnsi="仿宋" w:eastAsia="仿宋_GB2312"/>
          <w:b/>
          <w:sz w:val="32"/>
          <w:szCs w:val="32"/>
        </w:rPr>
        <w:t>五十一</w:t>
      </w:r>
      <w:r>
        <w:rPr>
          <w:rFonts w:ascii="仿宋_GB2312" w:hAnsi="仿宋" w:eastAsia="仿宋_GB2312"/>
          <w:b/>
          <w:sz w:val="32"/>
          <w:szCs w:val="32"/>
        </w:rPr>
        <w:t>条</w:t>
      </w:r>
      <w:r>
        <w:rPr>
          <w:rFonts w:hint="eastAsia" w:ascii="仿宋_GB2312" w:hAnsi="仿宋" w:eastAsia="仿宋_GB2312"/>
          <w:sz w:val="32"/>
          <w:szCs w:val="32"/>
        </w:rPr>
        <w:t xml:space="preserve"> 市场成员违反本办法规定，有下列情形之一的，按照《电力监管条例》第三十一条的规定处理：</w:t>
      </w:r>
    </w:p>
    <w:p>
      <w:pPr>
        <w:ind w:firstLine="645"/>
        <w:rPr>
          <w:rFonts w:hint="eastAsia" w:ascii="仿宋_GB2312" w:hAnsi="仿宋" w:eastAsia="仿宋_GB2312"/>
          <w:sz w:val="32"/>
          <w:szCs w:val="32"/>
        </w:rPr>
      </w:pPr>
      <w:r>
        <w:rPr>
          <w:rFonts w:hint="eastAsia" w:ascii="仿宋_GB2312" w:hAnsi="仿宋" w:eastAsia="仿宋_GB2312"/>
          <w:sz w:val="32"/>
          <w:szCs w:val="32"/>
        </w:rPr>
        <w:t>（一）未按照规定办理电力市场注册手续的；</w:t>
      </w:r>
    </w:p>
    <w:p>
      <w:pPr>
        <w:ind w:firstLine="645"/>
        <w:rPr>
          <w:rFonts w:hint="eastAsia" w:ascii="仿宋_GB2312" w:hAnsi="仿宋" w:eastAsia="仿宋_GB2312"/>
          <w:sz w:val="32"/>
          <w:szCs w:val="32"/>
        </w:rPr>
      </w:pPr>
      <w:r>
        <w:rPr>
          <w:rFonts w:hint="eastAsia" w:ascii="仿宋_GB2312" w:hAnsi="仿宋" w:eastAsia="仿宋_GB2312"/>
          <w:sz w:val="32"/>
          <w:szCs w:val="32"/>
        </w:rPr>
        <w:t>（二）提供虚假注册材料的；</w:t>
      </w:r>
    </w:p>
    <w:p>
      <w:pPr>
        <w:ind w:firstLine="645"/>
        <w:rPr>
          <w:rFonts w:hint="eastAsia" w:ascii="仿宋_GB2312" w:hAnsi="仿宋" w:eastAsia="仿宋_GB2312"/>
          <w:sz w:val="32"/>
          <w:szCs w:val="32"/>
        </w:rPr>
      </w:pPr>
      <w:r>
        <w:rPr>
          <w:rFonts w:hint="eastAsia" w:ascii="仿宋_GB2312" w:hAnsi="仿宋" w:eastAsia="仿宋_GB2312"/>
          <w:sz w:val="32"/>
          <w:szCs w:val="32"/>
        </w:rPr>
        <w:t>（三）未履行电力系统安全义务的；</w:t>
      </w:r>
    </w:p>
    <w:p>
      <w:pPr>
        <w:ind w:firstLine="645"/>
        <w:rPr>
          <w:rFonts w:hint="eastAsia" w:ascii="仿宋_GB2312" w:hAnsi="仿宋" w:eastAsia="仿宋_GB2312"/>
          <w:sz w:val="32"/>
          <w:szCs w:val="32"/>
        </w:rPr>
      </w:pPr>
      <w:r>
        <w:rPr>
          <w:rFonts w:hint="eastAsia" w:ascii="仿宋_GB2312" w:hAnsi="仿宋" w:eastAsia="仿宋_GB2312"/>
          <w:sz w:val="32"/>
          <w:szCs w:val="32"/>
        </w:rPr>
        <w:t>（四）有关设备、设施不符合国家标准、行业标准的；</w:t>
      </w:r>
    </w:p>
    <w:p>
      <w:pPr>
        <w:ind w:firstLine="645"/>
        <w:rPr>
          <w:rFonts w:hint="eastAsia" w:ascii="仿宋_GB2312" w:hAnsi="仿宋" w:eastAsia="仿宋_GB2312"/>
          <w:sz w:val="32"/>
          <w:szCs w:val="32"/>
        </w:rPr>
      </w:pPr>
      <w:r>
        <w:rPr>
          <w:rFonts w:hint="eastAsia" w:ascii="仿宋_GB2312" w:hAnsi="仿宋" w:eastAsia="仿宋_GB2312"/>
          <w:sz w:val="32"/>
          <w:szCs w:val="32"/>
        </w:rPr>
        <w:t>（五）行使市场操纵力的；</w:t>
      </w:r>
    </w:p>
    <w:p>
      <w:pPr>
        <w:ind w:firstLine="645"/>
        <w:rPr>
          <w:rFonts w:hint="eastAsia" w:ascii="仿宋_GB2312" w:hAnsi="仿宋" w:eastAsia="仿宋_GB2312"/>
          <w:sz w:val="32"/>
          <w:szCs w:val="32"/>
        </w:rPr>
      </w:pPr>
      <w:r>
        <w:rPr>
          <w:rFonts w:hint="eastAsia" w:ascii="仿宋_GB2312" w:hAnsi="仿宋" w:eastAsia="仿宋_GB2312"/>
          <w:sz w:val="32"/>
          <w:szCs w:val="32"/>
        </w:rPr>
        <w:t>（六）有不正当竞争、串通报价等违规交易行为的；</w:t>
      </w:r>
    </w:p>
    <w:p>
      <w:pPr>
        <w:ind w:firstLine="645"/>
        <w:rPr>
          <w:rFonts w:hint="eastAsia" w:ascii="仿宋_GB2312" w:hAnsi="仿宋" w:eastAsia="仿宋_GB2312"/>
          <w:sz w:val="32"/>
          <w:szCs w:val="32"/>
        </w:rPr>
      </w:pPr>
      <w:r>
        <w:rPr>
          <w:rFonts w:hint="eastAsia" w:ascii="仿宋_GB2312" w:hAnsi="仿宋" w:eastAsia="仿宋_GB2312"/>
          <w:sz w:val="32"/>
          <w:szCs w:val="32"/>
        </w:rPr>
        <w:t>（七）不执行调度指令的；</w:t>
      </w:r>
    </w:p>
    <w:p>
      <w:pPr>
        <w:ind w:firstLine="645"/>
        <w:rPr>
          <w:rFonts w:hint="eastAsia" w:ascii="仿宋_GB2312" w:hAnsi="仿宋" w:eastAsia="仿宋_GB2312"/>
          <w:sz w:val="32"/>
          <w:szCs w:val="32"/>
        </w:rPr>
      </w:pPr>
      <w:r>
        <w:rPr>
          <w:rFonts w:hint="eastAsia" w:ascii="仿宋_GB2312" w:hAnsi="仿宋" w:eastAsia="仿宋_GB2312"/>
          <w:sz w:val="32"/>
          <w:szCs w:val="32"/>
        </w:rPr>
        <w:t>（八）发电厂并网、电网互联不遵守有关规章、规则的；</w:t>
      </w:r>
    </w:p>
    <w:p>
      <w:pPr>
        <w:ind w:firstLine="645"/>
        <w:rPr>
          <w:rFonts w:hint="eastAsia" w:ascii="仿宋_GB2312" w:hAnsi="仿宋" w:eastAsia="仿宋_GB2312"/>
          <w:sz w:val="32"/>
          <w:szCs w:val="32"/>
        </w:rPr>
      </w:pPr>
      <w:r>
        <w:rPr>
          <w:rFonts w:hint="eastAsia" w:ascii="仿宋_GB2312" w:hAnsi="仿宋" w:eastAsia="仿宋_GB2312"/>
          <w:sz w:val="32"/>
          <w:szCs w:val="32"/>
        </w:rPr>
        <w:t>（九）不向从事电力交易的主体公平、无歧视开放电力市场或者不按照规定公平开放电网的；</w:t>
      </w:r>
    </w:p>
    <w:p>
      <w:pPr>
        <w:ind w:firstLine="645"/>
        <w:rPr>
          <w:rFonts w:hint="eastAsia" w:ascii="仿宋_GB2312" w:hAnsi="仿宋" w:eastAsia="仿宋_GB2312"/>
          <w:sz w:val="32"/>
          <w:szCs w:val="32"/>
        </w:rPr>
      </w:pPr>
      <w:r>
        <w:rPr>
          <w:rFonts w:hint="eastAsia" w:ascii="仿宋_GB2312" w:hAnsi="仿宋" w:eastAsia="仿宋_GB2312"/>
          <w:sz w:val="32"/>
          <w:szCs w:val="32"/>
        </w:rPr>
        <w:t>（十）其他违反电力市场有关规定的。</w:t>
      </w:r>
    </w:p>
    <w:p>
      <w:pPr>
        <w:ind w:firstLine="645"/>
        <w:rPr>
          <w:rFonts w:ascii="仿宋_GB2312" w:hAnsi="仿宋" w:eastAsia="仿宋_GB2312"/>
          <w:sz w:val="32"/>
          <w:szCs w:val="32"/>
        </w:rPr>
      </w:pPr>
      <w:r>
        <w:rPr>
          <w:rFonts w:ascii="仿宋_GB2312" w:hAnsi="仿宋" w:eastAsia="仿宋_GB2312"/>
          <w:b/>
          <w:sz w:val="32"/>
          <w:szCs w:val="32"/>
        </w:rPr>
        <w:t>第</w:t>
      </w:r>
      <w:r>
        <w:rPr>
          <w:rFonts w:hint="eastAsia" w:ascii="仿宋_GB2312" w:hAnsi="仿宋" w:eastAsia="仿宋_GB2312"/>
          <w:b/>
          <w:sz w:val="32"/>
          <w:szCs w:val="32"/>
        </w:rPr>
        <w:t>五十二</w:t>
      </w:r>
      <w:r>
        <w:rPr>
          <w:rFonts w:ascii="仿宋_GB2312" w:hAnsi="仿宋" w:eastAsia="仿宋_GB2312"/>
          <w:b/>
          <w:sz w:val="32"/>
          <w:szCs w:val="32"/>
        </w:rPr>
        <w:t>条</w:t>
      </w:r>
      <w:r>
        <w:rPr>
          <w:rFonts w:hint="eastAsia" w:ascii="仿宋_GB2312" w:hAnsi="仿宋" w:eastAsia="仿宋_GB2312"/>
          <w:sz w:val="32"/>
          <w:szCs w:val="32"/>
        </w:rPr>
        <w:t xml:space="preserve"> 电网企业、拥有配电网运营权的售电企业未按照国家规定的电能质量和供电服务质量标准向用户提供供电服务的，按照《电力监管条例》第三十二条的规定处理。</w:t>
      </w:r>
    </w:p>
    <w:p>
      <w:pPr>
        <w:ind w:firstLine="645"/>
        <w:rPr>
          <w:rFonts w:hint="eastAsia" w:ascii="仿宋_GB2312" w:hAnsi="仿宋" w:eastAsia="仿宋_GB2312"/>
          <w:sz w:val="32"/>
          <w:szCs w:val="32"/>
        </w:rPr>
      </w:pPr>
      <w:r>
        <w:rPr>
          <w:rFonts w:ascii="仿宋_GB2312" w:hAnsi="仿宋" w:eastAsia="仿宋_GB2312"/>
          <w:b/>
          <w:sz w:val="32"/>
          <w:szCs w:val="32"/>
        </w:rPr>
        <w:t>第</w:t>
      </w:r>
      <w:r>
        <w:rPr>
          <w:rFonts w:hint="eastAsia" w:ascii="仿宋_GB2312" w:hAnsi="仿宋" w:eastAsia="仿宋_GB2312"/>
          <w:b/>
          <w:sz w:val="32"/>
          <w:szCs w:val="32"/>
        </w:rPr>
        <w:t>五十三</w:t>
      </w:r>
      <w:r>
        <w:rPr>
          <w:rFonts w:ascii="仿宋_GB2312" w:hAnsi="仿宋" w:eastAsia="仿宋_GB2312"/>
          <w:b/>
          <w:sz w:val="32"/>
          <w:szCs w:val="32"/>
        </w:rPr>
        <w:t>条</w:t>
      </w:r>
      <w:r>
        <w:rPr>
          <w:rFonts w:hint="eastAsia" w:ascii="仿宋_GB2312" w:hAnsi="仿宋" w:eastAsia="仿宋_GB2312"/>
          <w:sz w:val="32"/>
          <w:szCs w:val="32"/>
        </w:rPr>
        <w:t xml:space="preserve"> 电力市场运营机构违反本办法规定，有下列情形之一的，按照《电力监管条例》第三十三条的规定处理：</w:t>
      </w:r>
    </w:p>
    <w:p>
      <w:pPr>
        <w:ind w:firstLine="645"/>
        <w:rPr>
          <w:rFonts w:hint="eastAsia" w:ascii="仿宋_GB2312" w:hAnsi="仿宋" w:eastAsia="仿宋_GB2312"/>
          <w:sz w:val="32"/>
          <w:szCs w:val="32"/>
        </w:rPr>
      </w:pPr>
      <w:r>
        <w:rPr>
          <w:rFonts w:hint="eastAsia" w:ascii="仿宋_GB2312" w:hAnsi="仿宋" w:eastAsia="仿宋_GB2312"/>
          <w:sz w:val="32"/>
          <w:szCs w:val="32"/>
        </w:rPr>
        <w:t>（一）未按照规定办理电力市场注册的；</w:t>
      </w:r>
    </w:p>
    <w:p>
      <w:pPr>
        <w:ind w:firstLine="645"/>
        <w:rPr>
          <w:rFonts w:hint="eastAsia" w:ascii="仿宋_GB2312" w:hAnsi="仿宋" w:eastAsia="仿宋_GB2312"/>
          <w:sz w:val="32"/>
          <w:szCs w:val="32"/>
        </w:rPr>
      </w:pPr>
      <w:r>
        <w:rPr>
          <w:rFonts w:hint="eastAsia" w:ascii="仿宋_GB2312" w:hAnsi="仿宋" w:eastAsia="仿宋_GB2312"/>
          <w:sz w:val="32"/>
          <w:szCs w:val="32"/>
        </w:rPr>
        <w:t>（二）未按照电力市场规则组织电力市场交易的；</w:t>
      </w:r>
    </w:p>
    <w:p>
      <w:pPr>
        <w:ind w:firstLine="645"/>
        <w:rPr>
          <w:rFonts w:hint="eastAsia" w:ascii="仿宋_GB2312" w:hAnsi="仿宋" w:eastAsia="仿宋_GB2312"/>
          <w:sz w:val="32"/>
          <w:szCs w:val="32"/>
        </w:rPr>
      </w:pPr>
      <w:r>
        <w:rPr>
          <w:rFonts w:hint="eastAsia" w:ascii="仿宋_GB2312" w:hAnsi="仿宋" w:eastAsia="仿宋_GB2312"/>
          <w:sz w:val="32"/>
          <w:szCs w:val="32"/>
        </w:rPr>
        <w:t>（三）未按照规定开展电力市场风险防控的；</w:t>
      </w:r>
    </w:p>
    <w:p>
      <w:pPr>
        <w:ind w:firstLine="645"/>
        <w:rPr>
          <w:rFonts w:hint="eastAsia" w:ascii="仿宋_GB2312" w:hAnsi="仿宋" w:eastAsia="仿宋_GB2312"/>
          <w:sz w:val="32"/>
          <w:szCs w:val="32"/>
        </w:rPr>
      </w:pPr>
      <w:r>
        <w:rPr>
          <w:rFonts w:hint="eastAsia" w:ascii="仿宋_GB2312" w:hAnsi="仿宋" w:eastAsia="仿宋_GB2312"/>
          <w:sz w:val="32"/>
          <w:szCs w:val="32"/>
        </w:rPr>
        <w:t>（四）未按照规定对电力市场进行干预的；</w:t>
      </w:r>
    </w:p>
    <w:p>
      <w:pPr>
        <w:ind w:firstLine="645"/>
        <w:rPr>
          <w:rFonts w:hint="eastAsia" w:ascii="仿宋_GB2312" w:hAnsi="仿宋" w:eastAsia="仿宋_GB2312"/>
          <w:sz w:val="32"/>
          <w:szCs w:val="32"/>
        </w:rPr>
      </w:pPr>
      <w:r>
        <w:rPr>
          <w:rFonts w:hint="eastAsia" w:ascii="仿宋_GB2312" w:hAnsi="仿宋" w:eastAsia="仿宋_GB2312"/>
          <w:sz w:val="32"/>
          <w:szCs w:val="32"/>
        </w:rPr>
        <w:t>（五）未按照规定公开、公平、公正地实施电力调度的；</w:t>
      </w:r>
    </w:p>
    <w:p>
      <w:pPr>
        <w:ind w:firstLine="645"/>
        <w:rPr>
          <w:rFonts w:hint="eastAsia" w:ascii="仿宋_GB2312" w:hAnsi="仿宋" w:eastAsia="仿宋_GB2312"/>
          <w:sz w:val="32"/>
          <w:szCs w:val="32"/>
        </w:rPr>
      </w:pPr>
      <w:r>
        <w:rPr>
          <w:rFonts w:hint="eastAsia" w:ascii="仿宋_GB2312" w:hAnsi="仿宋" w:eastAsia="仿宋_GB2312"/>
          <w:sz w:val="32"/>
          <w:szCs w:val="32"/>
        </w:rPr>
        <w:t>（六）未按照规定执行电力调度规则的；</w:t>
      </w:r>
    </w:p>
    <w:p>
      <w:pPr>
        <w:ind w:firstLine="645"/>
        <w:rPr>
          <w:rFonts w:hint="eastAsia" w:ascii="仿宋_GB2312" w:hAnsi="仿宋" w:eastAsia="仿宋_GB2312"/>
          <w:sz w:val="32"/>
          <w:szCs w:val="32"/>
        </w:rPr>
      </w:pPr>
      <w:r>
        <w:rPr>
          <w:rFonts w:hint="eastAsia" w:ascii="仿宋_GB2312" w:hAnsi="仿宋" w:eastAsia="仿宋_GB2312"/>
          <w:sz w:val="32"/>
          <w:szCs w:val="32"/>
        </w:rPr>
        <w:t>（七）未按照市场规则提供网络拓扑、系统参数等数据的；</w:t>
      </w:r>
    </w:p>
    <w:p>
      <w:pPr>
        <w:ind w:firstLine="645"/>
        <w:rPr>
          <w:rFonts w:hint="eastAsia" w:ascii="仿宋_GB2312" w:hAnsi="仿宋" w:eastAsia="仿宋_GB2312"/>
          <w:sz w:val="32"/>
          <w:szCs w:val="32"/>
        </w:rPr>
      </w:pPr>
      <w:r>
        <w:rPr>
          <w:rFonts w:hint="eastAsia" w:ascii="仿宋_GB2312" w:hAnsi="仿宋" w:eastAsia="仿宋_GB2312"/>
          <w:sz w:val="32"/>
          <w:szCs w:val="32"/>
        </w:rPr>
        <w:t>（八）未按照规定接入电力监管信息系统的；</w:t>
      </w:r>
    </w:p>
    <w:p>
      <w:pPr>
        <w:ind w:firstLine="645"/>
        <w:rPr>
          <w:rFonts w:hint="eastAsia" w:ascii="仿宋_GB2312" w:hAnsi="仿宋" w:eastAsia="仿宋_GB2312"/>
          <w:sz w:val="32"/>
          <w:szCs w:val="32"/>
        </w:rPr>
      </w:pPr>
      <w:r>
        <w:rPr>
          <w:rFonts w:hint="eastAsia" w:ascii="仿宋_GB2312" w:hAnsi="仿宋" w:eastAsia="仿宋_GB2312"/>
          <w:sz w:val="32"/>
          <w:szCs w:val="32"/>
        </w:rPr>
        <w:t>（九）泄露电力交易内幕信息的；</w:t>
      </w:r>
    </w:p>
    <w:p>
      <w:pPr>
        <w:ind w:firstLine="645"/>
        <w:rPr>
          <w:rFonts w:ascii="仿宋_GB2312" w:hAnsi="仿宋" w:eastAsia="仿宋_GB2312"/>
          <w:sz w:val="32"/>
          <w:szCs w:val="32"/>
        </w:rPr>
      </w:pPr>
      <w:r>
        <w:rPr>
          <w:rFonts w:hint="eastAsia" w:ascii="仿宋_GB2312" w:hAnsi="仿宋" w:eastAsia="仿宋_GB2312"/>
          <w:sz w:val="32"/>
          <w:szCs w:val="32"/>
        </w:rPr>
        <w:t>（十）其他违反电力市场有关规定的。</w:t>
      </w:r>
    </w:p>
    <w:p>
      <w:pPr>
        <w:ind w:firstLine="645"/>
        <w:rPr>
          <w:rFonts w:ascii="仿宋_GB2312" w:hAnsi="仿宋" w:eastAsia="仿宋_GB2312"/>
          <w:sz w:val="32"/>
          <w:szCs w:val="32"/>
        </w:rPr>
      </w:pPr>
      <w:r>
        <w:rPr>
          <w:rFonts w:ascii="仿宋_GB2312" w:hAnsi="仿宋" w:eastAsia="仿宋_GB2312"/>
          <w:b/>
          <w:sz w:val="32"/>
          <w:szCs w:val="32"/>
        </w:rPr>
        <w:t>第</w:t>
      </w:r>
      <w:r>
        <w:rPr>
          <w:rFonts w:hint="eastAsia" w:ascii="仿宋_GB2312" w:hAnsi="仿宋" w:eastAsia="仿宋_GB2312"/>
          <w:b/>
          <w:sz w:val="32"/>
          <w:szCs w:val="32"/>
        </w:rPr>
        <w:t>五十四</w:t>
      </w:r>
      <w:r>
        <w:rPr>
          <w:rFonts w:ascii="仿宋_GB2312" w:hAnsi="仿宋" w:eastAsia="仿宋_GB2312"/>
          <w:b/>
          <w:sz w:val="32"/>
          <w:szCs w:val="32"/>
        </w:rPr>
        <w:t>条</w:t>
      </w:r>
      <w:r>
        <w:rPr>
          <w:rFonts w:hint="eastAsia" w:ascii="仿宋_GB2312" w:hAnsi="仿宋" w:eastAsia="仿宋_GB2312"/>
          <w:b/>
          <w:sz w:val="32"/>
          <w:szCs w:val="32"/>
        </w:rPr>
        <w:t xml:space="preserve"> </w:t>
      </w:r>
      <w:r>
        <w:rPr>
          <w:rFonts w:hint="eastAsia" w:ascii="仿宋_GB2312" w:hAnsi="仿宋" w:eastAsia="仿宋_GB2312"/>
          <w:sz w:val="32"/>
          <w:szCs w:val="32"/>
        </w:rPr>
        <w:t>市场成员未按照规定报送或披露有关信息的，按照《电力监管条例》第三十四条的有关规定处理。</w:t>
      </w:r>
    </w:p>
    <w:p>
      <w:pPr>
        <w:jc w:val="center"/>
        <w:rPr>
          <w:rFonts w:asciiTheme="minorEastAsia" w:hAnsiTheme="minorEastAsia"/>
          <w:sz w:val="32"/>
          <w:szCs w:val="32"/>
        </w:rPr>
      </w:pPr>
      <w:r>
        <w:rPr>
          <w:rFonts w:hint="eastAsia" w:asciiTheme="minorEastAsia" w:hAnsiTheme="minorEastAsia"/>
          <w:sz w:val="32"/>
          <w:szCs w:val="32"/>
        </w:rPr>
        <w:t>第十一章 附则</w:t>
      </w:r>
    </w:p>
    <w:p>
      <w:pPr>
        <w:ind w:firstLine="645"/>
        <w:rPr>
          <w:rFonts w:ascii="仿宋_GB2312" w:hAnsi="仿宋" w:eastAsia="仿宋_GB2312"/>
          <w:sz w:val="32"/>
          <w:szCs w:val="32"/>
        </w:rPr>
      </w:pPr>
      <w:r>
        <w:rPr>
          <w:rFonts w:hint="eastAsia" w:ascii="仿宋_GB2312" w:hAnsi="仿宋" w:eastAsia="仿宋_GB2312"/>
          <w:b/>
          <w:sz w:val="32"/>
          <w:szCs w:val="32"/>
        </w:rPr>
        <w:t xml:space="preserve">第五十五条 </w:t>
      </w:r>
      <w:r>
        <w:rPr>
          <w:rFonts w:hint="eastAsia" w:ascii="仿宋_GB2312" w:hAnsi="仿宋" w:eastAsia="仿宋_GB2312"/>
          <w:sz w:val="32"/>
          <w:szCs w:val="32"/>
        </w:rPr>
        <w:t>本办法由浙江能源监管办负责解释。</w:t>
      </w:r>
    </w:p>
    <w:p>
      <w:pPr>
        <w:ind w:firstLine="645"/>
        <w:rPr>
          <w:rFonts w:ascii="仿宋_GB2312" w:hAnsi="仿宋" w:eastAsia="仿宋_GB2312"/>
          <w:sz w:val="32"/>
          <w:szCs w:val="32"/>
        </w:rPr>
      </w:pPr>
      <w:r>
        <w:rPr>
          <w:rFonts w:hint="eastAsia" w:ascii="仿宋_GB2312" w:hAnsi="仿宋" w:eastAsia="仿宋_GB2312"/>
          <w:b/>
          <w:sz w:val="32"/>
          <w:szCs w:val="32"/>
        </w:rPr>
        <w:t xml:space="preserve">第五十六条 </w:t>
      </w:r>
      <w:r>
        <w:rPr>
          <w:rFonts w:hint="eastAsia" w:ascii="仿宋_GB2312" w:hAnsi="仿宋" w:eastAsia="仿宋_GB2312"/>
          <w:sz w:val="32"/>
          <w:szCs w:val="32"/>
        </w:rPr>
        <w:t>本办法自2026年X月X日起施行。2019年11月25日发布的《浙江电力市场监管实施办法（试行）》（浙监能市场〔2019〕17号）同时废止。</w:t>
      </w:r>
    </w:p>
    <w:sectPr>
      <w:footerReference r:id="rId3" w:type="default"/>
      <w:footerReference r:id="rId4" w:type="even"/>
      <w:pgSz w:w="11906" w:h="16838"/>
      <w:pgMar w:top="1134" w:right="1800" w:bottom="1134" w:left="1800" w:header="737" w:footer="737"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Courier">
    <w:altName w:val="Courier New"/>
    <w:panose1 w:val="02070409020205020404"/>
    <w:charset w:val="00"/>
    <w:family w:val="modern"/>
    <w:pitch w:val="default"/>
    <w:sig w:usb0="00000000" w:usb1="0000000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sz w:val="1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sdt>
                <w:sdtPr>
                  <w:id w:val="-2112507431"/>
                  <w:docPartObj>
                    <w:docPartGallery w:val="autotext"/>
                  </w:docPartObj>
                </w:sdtPr>
                <w:sdtEndPr>
                  <w:rPr>
                    <w:rFonts w:hint="eastAsia" w:ascii="仿宋_GB2312" w:hAnsi="仿宋_GB2312" w:eastAsia="仿宋_GB2312" w:cs="仿宋_GB2312"/>
                    <w:sz w:val="28"/>
                    <w:szCs w:val="28"/>
                  </w:rPr>
                </w:sdtEndPr>
                <w:sdtContent>
                  <w:p>
                    <w:pPr>
                      <w:pStyle w:val="5"/>
                      <w:keepNext w:val="0"/>
                      <w:keepLines w:val="0"/>
                      <w:pageBreakBefore w:val="0"/>
                      <w:widowControl w:val="0"/>
                      <w:kinsoku/>
                      <w:wordWrap/>
                      <w:overflowPunct/>
                      <w:topLinePunct w:val="0"/>
                      <w:autoSpaceDE/>
                      <w:autoSpaceDN/>
                      <w:bidi w:val="0"/>
                      <w:adjustRightInd/>
                      <w:snapToGrid w:val="0"/>
                      <w:ind w:right="277" w:rightChars="132"/>
                      <w:jc w:val="center"/>
                      <w:textAlignment w:val="auto"/>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PAGE   \* MERGEFORMAT</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lang w:val="zh-CN"/>
                      </w:rPr>
                      <w:t>20</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eastAsia="zh-CN"/>
                      </w:rPr>
                      <w:t>—</w:t>
                    </w:r>
                  </w:p>
                </w:sdtContent>
              </w:sdt>
              <w:p/>
            </w:txbxContent>
          </v:textbox>
        </v:shape>
      </w:pic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2050" o:spid="_x0000_s2050" o:spt="202" type="#_x0000_t202" style="position:absolute;left:0pt;margin-left:0pt;margin-top:0pt;height:19.45pt;width:89.9pt;mso-position-horizontal-relative:margin;z-index:251660288;mso-width-relative:page;mso-height-relative:page;" filled="f" stroked="f" coordsize="21600,21600">
          <v:path/>
          <v:fill on="f" focussize="0,0"/>
          <v:stroke on="f"/>
          <v:imagedata o:title=""/>
          <o:lock v:ext="edit" aspectratio="f"/>
          <v:textbox inset="0mm,0mm,0mm,0mm">
            <w:txbxContent>
              <w:p>
                <w:pPr>
                  <w:pStyle w:val="5"/>
                  <w:ind w:left="0" w:leftChars="0" w:firstLine="218" w:firstLineChars="78"/>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2</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lang w:eastAsia="zh-CN"/>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350CEF"/>
    <w:rsid w:val="000014DD"/>
    <w:rsid w:val="000051FE"/>
    <w:rsid w:val="00007AC1"/>
    <w:rsid w:val="0001155C"/>
    <w:rsid w:val="00011FE4"/>
    <w:rsid w:val="00012ECA"/>
    <w:rsid w:val="0001566D"/>
    <w:rsid w:val="00016274"/>
    <w:rsid w:val="00020061"/>
    <w:rsid w:val="00020617"/>
    <w:rsid w:val="000207EA"/>
    <w:rsid w:val="00020E58"/>
    <w:rsid w:val="00020EE0"/>
    <w:rsid w:val="00025322"/>
    <w:rsid w:val="000277AB"/>
    <w:rsid w:val="00027D9E"/>
    <w:rsid w:val="000319AE"/>
    <w:rsid w:val="00035BE7"/>
    <w:rsid w:val="00042F4D"/>
    <w:rsid w:val="00045B2C"/>
    <w:rsid w:val="0005280F"/>
    <w:rsid w:val="00052AB7"/>
    <w:rsid w:val="000533B4"/>
    <w:rsid w:val="00054FC1"/>
    <w:rsid w:val="00055FAF"/>
    <w:rsid w:val="00056BAA"/>
    <w:rsid w:val="00057B84"/>
    <w:rsid w:val="00061D84"/>
    <w:rsid w:val="00062929"/>
    <w:rsid w:val="00064741"/>
    <w:rsid w:val="000648FD"/>
    <w:rsid w:val="00064E98"/>
    <w:rsid w:val="000657D4"/>
    <w:rsid w:val="0006765B"/>
    <w:rsid w:val="00070529"/>
    <w:rsid w:val="00070AF9"/>
    <w:rsid w:val="00076D3F"/>
    <w:rsid w:val="00081329"/>
    <w:rsid w:val="000814A5"/>
    <w:rsid w:val="000828EB"/>
    <w:rsid w:val="000835B0"/>
    <w:rsid w:val="000863E3"/>
    <w:rsid w:val="00086757"/>
    <w:rsid w:val="00087858"/>
    <w:rsid w:val="00090769"/>
    <w:rsid w:val="000928C2"/>
    <w:rsid w:val="000942F8"/>
    <w:rsid w:val="00095B9E"/>
    <w:rsid w:val="00096BC3"/>
    <w:rsid w:val="00096EC1"/>
    <w:rsid w:val="000A1AC8"/>
    <w:rsid w:val="000A3ECC"/>
    <w:rsid w:val="000A4E2E"/>
    <w:rsid w:val="000A77BD"/>
    <w:rsid w:val="000A79A7"/>
    <w:rsid w:val="000B46B4"/>
    <w:rsid w:val="000C14B0"/>
    <w:rsid w:val="000C53CB"/>
    <w:rsid w:val="000D232E"/>
    <w:rsid w:val="000D6740"/>
    <w:rsid w:val="000D7C33"/>
    <w:rsid w:val="000E0AE0"/>
    <w:rsid w:val="000E0EF2"/>
    <w:rsid w:val="000E1971"/>
    <w:rsid w:val="000E34AA"/>
    <w:rsid w:val="000F3EE9"/>
    <w:rsid w:val="000F4F42"/>
    <w:rsid w:val="000F6697"/>
    <w:rsid w:val="000F6786"/>
    <w:rsid w:val="000F7819"/>
    <w:rsid w:val="00101C30"/>
    <w:rsid w:val="00104332"/>
    <w:rsid w:val="00105C24"/>
    <w:rsid w:val="001128F8"/>
    <w:rsid w:val="00125C00"/>
    <w:rsid w:val="0013014A"/>
    <w:rsid w:val="00131725"/>
    <w:rsid w:val="00133AAA"/>
    <w:rsid w:val="0014232B"/>
    <w:rsid w:val="001442A4"/>
    <w:rsid w:val="00145A11"/>
    <w:rsid w:val="00146BA9"/>
    <w:rsid w:val="00150575"/>
    <w:rsid w:val="0015365F"/>
    <w:rsid w:val="00160C4B"/>
    <w:rsid w:val="0016145F"/>
    <w:rsid w:val="00162864"/>
    <w:rsid w:val="00164D36"/>
    <w:rsid w:val="00166740"/>
    <w:rsid w:val="001725F4"/>
    <w:rsid w:val="00175322"/>
    <w:rsid w:val="00177CC5"/>
    <w:rsid w:val="0018067B"/>
    <w:rsid w:val="0018307B"/>
    <w:rsid w:val="0018464E"/>
    <w:rsid w:val="00186E95"/>
    <w:rsid w:val="001871D0"/>
    <w:rsid w:val="00192D3C"/>
    <w:rsid w:val="001953DF"/>
    <w:rsid w:val="00195401"/>
    <w:rsid w:val="001A051D"/>
    <w:rsid w:val="001A0965"/>
    <w:rsid w:val="001A1393"/>
    <w:rsid w:val="001A47C2"/>
    <w:rsid w:val="001A4FC8"/>
    <w:rsid w:val="001A733C"/>
    <w:rsid w:val="001B0737"/>
    <w:rsid w:val="001B36D4"/>
    <w:rsid w:val="001B4875"/>
    <w:rsid w:val="001B5458"/>
    <w:rsid w:val="001B7894"/>
    <w:rsid w:val="001C02AD"/>
    <w:rsid w:val="001C19B3"/>
    <w:rsid w:val="001C428B"/>
    <w:rsid w:val="001C48D2"/>
    <w:rsid w:val="001D14E9"/>
    <w:rsid w:val="001D4E3F"/>
    <w:rsid w:val="001D696A"/>
    <w:rsid w:val="001E64A4"/>
    <w:rsid w:val="001E664F"/>
    <w:rsid w:val="001E7E8D"/>
    <w:rsid w:val="001F2813"/>
    <w:rsid w:val="001F4F75"/>
    <w:rsid w:val="001F6EA8"/>
    <w:rsid w:val="001F7B34"/>
    <w:rsid w:val="00206C6D"/>
    <w:rsid w:val="00206F9D"/>
    <w:rsid w:val="00210E1A"/>
    <w:rsid w:val="00210FCE"/>
    <w:rsid w:val="00212C12"/>
    <w:rsid w:val="0021385F"/>
    <w:rsid w:val="00217458"/>
    <w:rsid w:val="00222A2D"/>
    <w:rsid w:val="00223358"/>
    <w:rsid w:val="002269E7"/>
    <w:rsid w:val="00232C02"/>
    <w:rsid w:val="00235E17"/>
    <w:rsid w:val="00237109"/>
    <w:rsid w:val="002374FA"/>
    <w:rsid w:val="00244B43"/>
    <w:rsid w:val="00246C71"/>
    <w:rsid w:val="00247FAF"/>
    <w:rsid w:val="00252BF8"/>
    <w:rsid w:val="00254B39"/>
    <w:rsid w:val="00255ACC"/>
    <w:rsid w:val="00255F75"/>
    <w:rsid w:val="00256566"/>
    <w:rsid w:val="00256EFB"/>
    <w:rsid w:val="002579BB"/>
    <w:rsid w:val="00257A62"/>
    <w:rsid w:val="002608EF"/>
    <w:rsid w:val="00263E7E"/>
    <w:rsid w:val="00263FC4"/>
    <w:rsid w:val="00265455"/>
    <w:rsid w:val="002658AD"/>
    <w:rsid w:val="002658B7"/>
    <w:rsid w:val="00272CD4"/>
    <w:rsid w:val="00277610"/>
    <w:rsid w:val="002825D4"/>
    <w:rsid w:val="00284379"/>
    <w:rsid w:val="00286F5C"/>
    <w:rsid w:val="00291190"/>
    <w:rsid w:val="0029656D"/>
    <w:rsid w:val="002A095E"/>
    <w:rsid w:val="002A1F7D"/>
    <w:rsid w:val="002A29CE"/>
    <w:rsid w:val="002A3919"/>
    <w:rsid w:val="002A42BC"/>
    <w:rsid w:val="002A7311"/>
    <w:rsid w:val="002A7C36"/>
    <w:rsid w:val="002B13B3"/>
    <w:rsid w:val="002B2F15"/>
    <w:rsid w:val="002B3BEE"/>
    <w:rsid w:val="002B4A9C"/>
    <w:rsid w:val="002B5911"/>
    <w:rsid w:val="002C1F7F"/>
    <w:rsid w:val="002C2A73"/>
    <w:rsid w:val="002C2D19"/>
    <w:rsid w:val="002D0115"/>
    <w:rsid w:val="002D1EB3"/>
    <w:rsid w:val="002D6A97"/>
    <w:rsid w:val="002D7AC4"/>
    <w:rsid w:val="002E0022"/>
    <w:rsid w:val="002E033E"/>
    <w:rsid w:val="002E15DA"/>
    <w:rsid w:val="002E3F14"/>
    <w:rsid w:val="002E4B58"/>
    <w:rsid w:val="002E6E87"/>
    <w:rsid w:val="002F7FD7"/>
    <w:rsid w:val="00301A03"/>
    <w:rsid w:val="00305970"/>
    <w:rsid w:val="00310B8D"/>
    <w:rsid w:val="003129DC"/>
    <w:rsid w:val="00314EB0"/>
    <w:rsid w:val="003153A9"/>
    <w:rsid w:val="00321F18"/>
    <w:rsid w:val="00322D4F"/>
    <w:rsid w:val="003255C6"/>
    <w:rsid w:val="00326521"/>
    <w:rsid w:val="003308DB"/>
    <w:rsid w:val="00330B5C"/>
    <w:rsid w:val="003336D5"/>
    <w:rsid w:val="0033430D"/>
    <w:rsid w:val="003422C1"/>
    <w:rsid w:val="003446C0"/>
    <w:rsid w:val="00346CBD"/>
    <w:rsid w:val="00350CEF"/>
    <w:rsid w:val="00352905"/>
    <w:rsid w:val="003559E8"/>
    <w:rsid w:val="003562EC"/>
    <w:rsid w:val="00357626"/>
    <w:rsid w:val="0036238B"/>
    <w:rsid w:val="003623E0"/>
    <w:rsid w:val="00367585"/>
    <w:rsid w:val="00376384"/>
    <w:rsid w:val="00380335"/>
    <w:rsid w:val="00381A75"/>
    <w:rsid w:val="00387A9F"/>
    <w:rsid w:val="00393AE1"/>
    <w:rsid w:val="0039700D"/>
    <w:rsid w:val="003A0273"/>
    <w:rsid w:val="003A08BA"/>
    <w:rsid w:val="003A12A7"/>
    <w:rsid w:val="003A1569"/>
    <w:rsid w:val="003A4058"/>
    <w:rsid w:val="003A7181"/>
    <w:rsid w:val="003A7CB2"/>
    <w:rsid w:val="003B2019"/>
    <w:rsid w:val="003B227D"/>
    <w:rsid w:val="003B3F35"/>
    <w:rsid w:val="003C2B33"/>
    <w:rsid w:val="003C51FE"/>
    <w:rsid w:val="003C629F"/>
    <w:rsid w:val="003C773C"/>
    <w:rsid w:val="003D2A65"/>
    <w:rsid w:val="003D2BFB"/>
    <w:rsid w:val="003D3B49"/>
    <w:rsid w:val="003E516C"/>
    <w:rsid w:val="003E568A"/>
    <w:rsid w:val="003F0BB8"/>
    <w:rsid w:val="003F1744"/>
    <w:rsid w:val="003F5054"/>
    <w:rsid w:val="003F580B"/>
    <w:rsid w:val="003F6EBB"/>
    <w:rsid w:val="004011F4"/>
    <w:rsid w:val="00403D81"/>
    <w:rsid w:val="00414639"/>
    <w:rsid w:val="00415D4A"/>
    <w:rsid w:val="00416081"/>
    <w:rsid w:val="00421AFC"/>
    <w:rsid w:val="00421F12"/>
    <w:rsid w:val="00421F91"/>
    <w:rsid w:val="00426F76"/>
    <w:rsid w:val="00431A67"/>
    <w:rsid w:val="00431C74"/>
    <w:rsid w:val="00432B63"/>
    <w:rsid w:val="00433AE1"/>
    <w:rsid w:val="00434CA6"/>
    <w:rsid w:val="00435539"/>
    <w:rsid w:val="00437359"/>
    <w:rsid w:val="00440217"/>
    <w:rsid w:val="004420F8"/>
    <w:rsid w:val="00443DD4"/>
    <w:rsid w:val="004443A8"/>
    <w:rsid w:val="004446D8"/>
    <w:rsid w:val="00444E89"/>
    <w:rsid w:val="004450A9"/>
    <w:rsid w:val="00451673"/>
    <w:rsid w:val="004536A9"/>
    <w:rsid w:val="00460FC9"/>
    <w:rsid w:val="00462075"/>
    <w:rsid w:val="00462FC6"/>
    <w:rsid w:val="00471D1D"/>
    <w:rsid w:val="004720A5"/>
    <w:rsid w:val="0047283B"/>
    <w:rsid w:val="00475F1A"/>
    <w:rsid w:val="004766F6"/>
    <w:rsid w:val="00477457"/>
    <w:rsid w:val="00480D02"/>
    <w:rsid w:val="00482DF3"/>
    <w:rsid w:val="00485014"/>
    <w:rsid w:val="004852A4"/>
    <w:rsid w:val="00486D71"/>
    <w:rsid w:val="00495F1A"/>
    <w:rsid w:val="004A0DF8"/>
    <w:rsid w:val="004A0F68"/>
    <w:rsid w:val="004A6D3C"/>
    <w:rsid w:val="004B0142"/>
    <w:rsid w:val="004B7C58"/>
    <w:rsid w:val="004C00C5"/>
    <w:rsid w:val="004C451C"/>
    <w:rsid w:val="004C45B8"/>
    <w:rsid w:val="004C52BD"/>
    <w:rsid w:val="004D09D7"/>
    <w:rsid w:val="004D1F03"/>
    <w:rsid w:val="004D4238"/>
    <w:rsid w:val="004D57FA"/>
    <w:rsid w:val="004D5E81"/>
    <w:rsid w:val="004E147A"/>
    <w:rsid w:val="004F18A4"/>
    <w:rsid w:val="004F2FB1"/>
    <w:rsid w:val="005030C2"/>
    <w:rsid w:val="005031A8"/>
    <w:rsid w:val="00503F44"/>
    <w:rsid w:val="00504F40"/>
    <w:rsid w:val="005115DB"/>
    <w:rsid w:val="00517D09"/>
    <w:rsid w:val="005202B6"/>
    <w:rsid w:val="00520C0F"/>
    <w:rsid w:val="0052442A"/>
    <w:rsid w:val="00524C35"/>
    <w:rsid w:val="0052735F"/>
    <w:rsid w:val="0053252D"/>
    <w:rsid w:val="00536BC9"/>
    <w:rsid w:val="00536E7B"/>
    <w:rsid w:val="005413BE"/>
    <w:rsid w:val="00541E28"/>
    <w:rsid w:val="005479E5"/>
    <w:rsid w:val="00547DB0"/>
    <w:rsid w:val="00552C78"/>
    <w:rsid w:val="00555B4F"/>
    <w:rsid w:val="005564F2"/>
    <w:rsid w:val="00557ADF"/>
    <w:rsid w:val="00557B84"/>
    <w:rsid w:val="0056148C"/>
    <w:rsid w:val="00561687"/>
    <w:rsid w:val="005638A4"/>
    <w:rsid w:val="00566BC1"/>
    <w:rsid w:val="00580B5E"/>
    <w:rsid w:val="00582940"/>
    <w:rsid w:val="0058487A"/>
    <w:rsid w:val="00590D0C"/>
    <w:rsid w:val="00592AB6"/>
    <w:rsid w:val="005A38ED"/>
    <w:rsid w:val="005A456E"/>
    <w:rsid w:val="005A618F"/>
    <w:rsid w:val="005B23F0"/>
    <w:rsid w:val="005B4DCB"/>
    <w:rsid w:val="005C2E7D"/>
    <w:rsid w:val="005C31EE"/>
    <w:rsid w:val="005C5712"/>
    <w:rsid w:val="005D15C7"/>
    <w:rsid w:val="005D60F9"/>
    <w:rsid w:val="005E165E"/>
    <w:rsid w:val="005E184A"/>
    <w:rsid w:val="005E31BD"/>
    <w:rsid w:val="005E3D9D"/>
    <w:rsid w:val="005E77CF"/>
    <w:rsid w:val="005F4C2A"/>
    <w:rsid w:val="005F5F6B"/>
    <w:rsid w:val="005F6803"/>
    <w:rsid w:val="005F7069"/>
    <w:rsid w:val="005F7167"/>
    <w:rsid w:val="00602E26"/>
    <w:rsid w:val="0060344F"/>
    <w:rsid w:val="00607C74"/>
    <w:rsid w:val="00610769"/>
    <w:rsid w:val="0061249C"/>
    <w:rsid w:val="006133D8"/>
    <w:rsid w:val="00614EE0"/>
    <w:rsid w:val="00615023"/>
    <w:rsid w:val="006153E9"/>
    <w:rsid w:val="006202E6"/>
    <w:rsid w:val="00620B71"/>
    <w:rsid w:val="006218B1"/>
    <w:rsid w:val="006257B9"/>
    <w:rsid w:val="00627776"/>
    <w:rsid w:val="006315DE"/>
    <w:rsid w:val="00634879"/>
    <w:rsid w:val="006368FA"/>
    <w:rsid w:val="00641512"/>
    <w:rsid w:val="00643853"/>
    <w:rsid w:val="00644680"/>
    <w:rsid w:val="006459A6"/>
    <w:rsid w:val="0065528A"/>
    <w:rsid w:val="0065703E"/>
    <w:rsid w:val="00667C73"/>
    <w:rsid w:val="0067768D"/>
    <w:rsid w:val="00683210"/>
    <w:rsid w:val="00687EF5"/>
    <w:rsid w:val="00690932"/>
    <w:rsid w:val="006967CD"/>
    <w:rsid w:val="006A4AA1"/>
    <w:rsid w:val="006A5BF1"/>
    <w:rsid w:val="006A7464"/>
    <w:rsid w:val="006A7484"/>
    <w:rsid w:val="006B705A"/>
    <w:rsid w:val="006C206C"/>
    <w:rsid w:val="006C4D2E"/>
    <w:rsid w:val="006C6C6C"/>
    <w:rsid w:val="006C7B03"/>
    <w:rsid w:val="006C7BDA"/>
    <w:rsid w:val="006D180C"/>
    <w:rsid w:val="006D591D"/>
    <w:rsid w:val="006D69D4"/>
    <w:rsid w:val="006E1020"/>
    <w:rsid w:val="006E209A"/>
    <w:rsid w:val="006E34B9"/>
    <w:rsid w:val="006E3782"/>
    <w:rsid w:val="006E6603"/>
    <w:rsid w:val="006E73FB"/>
    <w:rsid w:val="006F23BD"/>
    <w:rsid w:val="006F521D"/>
    <w:rsid w:val="00703EB0"/>
    <w:rsid w:val="007052AE"/>
    <w:rsid w:val="00707691"/>
    <w:rsid w:val="00707B4A"/>
    <w:rsid w:val="007119C1"/>
    <w:rsid w:val="00713596"/>
    <w:rsid w:val="00714DA3"/>
    <w:rsid w:val="00716596"/>
    <w:rsid w:val="007166F6"/>
    <w:rsid w:val="0072000E"/>
    <w:rsid w:val="00732A2C"/>
    <w:rsid w:val="00735F4C"/>
    <w:rsid w:val="007435A1"/>
    <w:rsid w:val="00743B1C"/>
    <w:rsid w:val="00746344"/>
    <w:rsid w:val="00746813"/>
    <w:rsid w:val="007502D4"/>
    <w:rsid w:val="00755058"/>
    <w:rsid w:val="0075743A"/>
    <w:rsid w:val="007632AB"/>
    <w:rsid w:val="00766BC1"/>
    <w:rsid w:val="0077079A"/>
    <w:rsid w:val="00770EB0"/>
    <w:rsid w:val="0077121C"/>
    <w:rsid w:val="00777787"/>
    <w:rsid w:val="0078339F"/>
    <w:rsid w:val="00784692"/>
    <w:rsid w:val="00790517"/>
    <w:rsid w:val="007928F3"/>
    <w:rsid w:val="00792FD5"/>
    <w:rsid w:val="00796913"/>
    <w:rsid w:val="007A1499"/>
    <w:rsid w:val="007A1C49"/>
    <w:rsid w:val="007A350F"/>
    <w:rsid w:val="007A5F7F"/>
    <w:rsid w:val="007A61EB"/>
    <w:rsid w:val="007B0B0B"/>
    <w:rsid w:val="007B30E1"/>
    <w:rsid w:val="007B3820"/>
    <w:rsid w:val="007B4117"/>
    <w:rsid w:val="007B4375"/>
    <w:rsid w:val="007C02A0"/>
    <w:rsid w:val="007C141F"/>
    <w:rsid w:val="007C2C2B"/>
    <w:rsid w:val="007D127E"/>
    <w:rsid w:val="007D18F1"/>
    <w:rsid w:val="007D2724"/>
    <w:rsid w:val="007D66D7"/>
    <w:rsid w:val="007E19E4"/>
    <w:rsid w:val="007E3856"/>
    <w:rsid w:val="007E6008"/>
    <w:rsid w:val="007F2FAB"/>
    <w:rsid w:val="007F4338"/>
    <w:rsid w:val="007F515F"/>
    <w:rsid w:val="007F79D5"/>
    <w:rsid w:val="008012D8"/>
    <w:rsid w:val="00814E53"/>
    <w:rsid w:val="0081778D"/>
    <w:rsid w:val="00822F23"/>
    <w:rsid w:val="00826034"/>
    <w:rsid w:val="00830DCF"/>
    <w:rsid w:val="00833AEC"/>
    <w:rsid w:val="00841070"/>
    <w:rsid w:val="0084198E"/>
    <w:rsid w:val="00842747"/>
    <w:rsid w:val="0084368E"/>
    <w:rsid w:val="0084763B"/>
    <w:rsid w:val="00850D00"/>
    <w:rsid w:val="00853AF0"/>
    <w:rsid w:val="00855671"/>
    <w:rsid w:val="00860212"/>
    <w:rsid w:val="008641E7"/>
    <w:rsid w:val="008754BB"/>
    <w:rsid w:val="008758A9"/>
    <w:rsid w:val="0087684E"/>
    <w:rsid w:val="00883137"/>
    <w:rsid w:val="008843B9"/>
    <w:rsid w:val="0088636C"/>
    <w:rsid w:val="00894439"/>
    <w:rsid w:val="008960BC"/>
    <w:rsid w:val="008A2650"/>
    <w:rsid w:val="008A4AD6"/>
    <w:rsid w:val="008A6959"/>
    <w:rsid w:val="008A7624"/>
    <w:rsid w:val="008B16A1"/>
    <w:rsid w:val="008B6D07"/>
    <w:rsid w:val="008C23D4"/>
    <w:rsid w:val="008C553E"/>
    <w:rsid w:val="008C556B"/>
    <w:rsid w:val="008D4B7E"/>
    <w:rsid w:val="008D5BB2"/>
    <w:rsid w:val="008D6A6C"/>
    <w:rsid w:val="008E5C36"/>
    <w:rsid w:val="008F291D"/>
    <w:rsid w:val="008F4E96"/>
    <w:rsid w:val="008F560B"/>
    <w:rsid w:val="009012F8"/>
    <w:rsid w:val="0090296C"/>
    <w:rsid w:val="00906089"/>
    <w:rsid w:val="00916359"/>
    <w:rsid w:val="00916862"/>
    <w:rsid w:val="00922D42"/>
    <w:rsid w:val="009244C9"/>
    <w:rsid w:val="00925B49"/>
    <w:rsid w:val="00925BF7"/>
    <w:rsid w:val="00930EC2"/>
    <w:rsid w:val="00931FE4"/>
    <w:rsid w:val="00933BDB"/>
    <w:rsid w:val="00934013"/>
    <w:rsid w:val="0093600B"/>
    <w:rsid w:val="00942A85"/>
    <w:rsid w:val="00944BDD"/>
    <w:rsid w:val="009460E2"/>
    <w:rsid w:val="00946FC7"/>
    <w:rsid w:val="00951642"/>
    <w:rsid w:val="00952C79"/>
    <w:rsid w:val="009549A3"/>
    <w:rsid w:val="00954C84"/>
    <w:rsid w:val="009634A1"/>
    <w:rsid w:val="0096590B"/>
    <w:rsid w:val="0097006A"/>
    <w:rsid w:val="00972FF4"/>
    <w:rsid w:val="0098016B"/>
    <w:rsid w:val="00981A63"/>
    <w:rsid w:val="009830EC"/>
    <w:rsid w:val="0098489B"/>
    <w:rsid w:val="00984DE6"/>
    <w:rsid w:val="00994EA7"/>
    <w:rsid w:val="009A3A66"/>
    <w:rsid w:val="009A6086"/>
    <w:rsid w:val="009A6154"/>
    <w:rsid w:val="009A773D"/>
    <w:rsid w:val="009A794F"/>
    <w:rsid w:val="009B2AF8"/>
    <w:rsid w:val="009B573D"/>
    <w:rsid w:val="009C15C5"/>
    <w:rsid w:val="009C20AE"/>
    <w:rsid w:val="009C20C5"/>
    <w:rsid w:val="009C29B6"/>
    <w:rsid w:val="009C4D60"/>
    <w:rsid w:val="009D04D6"/>
    <w:rsid w:val="009D159B"/>
    <w:rsid w:val="009D2962"/>
    <w:rsid w:val="009D31B2"/>
    <w:rsid w:val="009D4200"/>
    <w:rsid w:val="009D550B"/>
    <w:rsid w:val="009D5A58"/>
    <w:rsid w:val="009D642A"/>
    <w:rsid w:val="009E0869"/>
    <w:rsid w:val="009E1988"/>
    <w:rsid w:val="009E3806"/>
    <w:rsid w:val="009E5B0F"/>
    <w:rsid w:val="009F1296"/>
    <w:rsid w:val="009F49A4"/>
    <w:rsid w:val="009F6E54"/>
    <w:rsid w:val="00A02768"/>
    <w:rsid w:val="00A04256"/>
    <w:rsid w:val="00A10D03"/>
    <w:rsid w:val="00A1153E"/>
    <w:rsid w:val="00A12260"/>
    <w:rsid w:val="00A136E1"/>
    <w:rsid w:val="00A15A66"/>
    <w:rsid w:val="00A167BF"/>
    <w:rsid w:val="00A17B9D"/>
    <w:rsid w:val="00A20630"/>
    <w:rsid w:val="00A22EB8"/>
    <w:rsid w:val="00A241AD"/>
    <w:rsid w:val="00A33289"/>
    <w:rsid w:val="00A35C75"/>
    <w:rsid w:val="00A41AAD"/>
    <w:rsid w:val="00A51D54"/>
    <w:rsid w:val="00A54C25"/>
    <w:rsid w:val="00A54D7C"/>
    <w:rsid w:val="00A5512B"/>
    <w:rsid w:val="00A602A1"/>
    <w:rsid w:val="00A61851"/>
    <w:rsid w:val="00A63AB7"/>
    <w:rsid w:val="00A6742A"/>
    <w:rsid w:val="00A7030D"/>
    <w:rsid w:val="00A732C3"/>
    <w:rsid w:val="00A74B3B"/>
    <w:rsid w:val="00A74BCB"/>
    <w:rsid w:val="00A76854"/>
    <w:rsid w:val="00A7795B"/>
    <w:rsid w:val="00A77C9E"/>
    <w:rsid w:val="00A90A91"/>
    <w:rsid w:val="00A928C4"/>
    <w:rsid w:val="00A96F73"/>
    <w:rsid w:val="00AA3B22"/>
    <w:rsid w:val="00AA5187"/>
    <w:rsid w:val="00AB3441"/>
    <w:rsid w:val="00AB3B45"/>
    <w:rsid w:val="00AB4458"/>
    <w:rsid w:val="00AB57D7"/>
    <w:rsid w:val="00AB60BE"/>
    <w:rsid w:val="00AB7CE5"/>
    <w:rsid w:val="00AC1575"/>
    <w:rsid w:val="00AD1568"/>
    <w:rsid w:val="00AD1C8F"/>
    <w:rsid w:val="00AD2E06"/>
    <w:rsid w:val="00AE1385"/>
    <w:rsid w:val="00AE3482"/>
    <w:rsid w:val="00AE57BB"/>
    <w:rsid w:val="00AE6528"/>
    <w:rsid w:val="00AF3467"/>
    <w:rsid w:val="00AF4DC6"/>
    <w:rsid w:val="00AF736A"/>
    <w:rsid w:val="00B003B9"/>
    <w:rsid w:val="00B00BE2"/>
    <w:rsid w:val="00B01D72"/>
    <w:rsid w:val="00B064A1"/>
    <w:rsid w:val="00B06F42"/>
    <w:rsid w:val="00B07411"/>
    <w:rsid w:val="00B105AF"/>
    <w:rsid w:val="00B119A0"/>
    <w:rsid w:val="00B126F4"/>
    <w:rsid w:val="00B12EA3"/>
    <w:rsid w:val="00B13CCA"/>
    <w:rsid w:val="00B1599F"/>
    <w:rsid w:val="00B167BA"/>
    <w:rsid w:val="00B20B0A"/>
    <w:rsid w:val="00B2281E"/>
    <w:rsid w:val="00B30980"/>
    <w:rsid w:val="00B3175B"/>
    <w:rsid w:val="00B31B8C"/>
    <w:rsid w:val="00B336F4"/>
    <w:rsid w:val="00B35A57"/>
    <w:rsid w:val="00B400A7"/>
    <w:rsid w:val="00B5715A"/>
    <w:rsid w:val="00B579FC"/>
    <w:rsid w:val="00B62BF2"/>
    <w:rsid w:val="00B67667"/>
    <w:rsid w:val="00B703C1"/>
    <w:rsid w:val="00B729DF"/>
    <w:rsid w:val="00B76E8D"/>
    <w:rsid w:val="00B81AE1"/>
    <w:rsid w:val="00B82AEE"/>
    <w:rsid w:val="00B85DB5"/>
    <w:rsid w:val="00B902E5"/>
    <w:rsid w:val="00B90633"/>
    <w:rsid w:val="00B914EA"/>
    <w:rsid w:val="00B92DDD"/>
    <w:rsid w:val="00B964C9"/>
    <w:rsid w:val="00B965DE"/>
    <w:rsid w:val="00BA0BA8"/>
    <w:rsid w:val="00BA3195"/>
    <w:rsid w:val="00BA319D"/>
    <w:rsid w:val="00BA4E87"/>
    <w:rsid w:val="00BA61BE"/>
    <w:rsid w:val="00BC058D"/>
    <w:rsid w:val="00BC0683"/>
    <w:rsid w:val="00BC06DA"/>
    <w:rsid w:val="00BC1AC5"/>
    <w:rsid w:val="00BC4118"/>
    <w:rsid w:val="00BC5C69"/>
    <w:rsid w:val="00BC717F"/>
    <w:rsid w:val="00BC763F"/>
    <w:rsid w:val="00BD1484"/>
    <w:rsid w:val="00BD3FB0"/>
    <w:rsid w:val="00BE08DB"/>
    <w:rsid w:val="00BE13E3"/>
    <w:rsid w:val="00BE2F1B"/>
    <w:rsid w:val="00BE7316"/>
    <w:rsid w:val="00BE7933"/>
    <w:rsid w:val="00BE7C51"/>
    <w:rsid w:val="00BF0ED5"/>
    <w:rsid w:val="00BF0F36"/>
    <w:rsid w:val="00BF1687"/>
    <w:rsid w:val="00BF5AEE"/>
    <w:rsid w:val="00C004CF"/>
    <w:rsid w:val="00C0453F"/>
    <w:rsid w:val="00C151CD"/>
    <w:rsid w:val="00C1583A"/>
    <w:rsid w:val="00C159EF"/>
    <w:rsid w:val="00C15EA9"/>
    <w:rsid w:val="00C16D8D"/>
    <w:rsid w:val="00C17E5B"/>
    <w:rsid w:val="00C205BC"/>
    <w:rsid w:val="00C2213C"/>
    <w:rsid w:val="00C246BF"/>
    <w:rsid w:val="00C323AC"/>
    <w:rsid w:val="00C32D45"/>
    <w:rsid w:val="00C358D0"/>
    <w:rsid w:val="00C366A2"/>
    <w:rsid w:val="00C41AED"/>
    <w:rsid w:val="00C42502"/>
    <w:rsid w:val="00C425A1"/>
    <w:rsid w:val="00C43E6F"/>
    <w:rsid w:val="00C4598A"/>
    <w:rsid w:val="00C45E88"/>
    <w:rsid w:val="00C472C1"/>
    <w:rsid w:val="00C47783"/>
    <w:rsid w:val="00C535A4"/>
    <w:rsid w:val="00C53E25"/>
    <w:rsid w:val="00C547F5"/>
    <w:rsid w:val="00C65946"/>
    <w:rsid w:val="00C66E29"/>
    <w:rsid w:val="00C70826"/>
    <w:rsid w:val="00C70CF1"/>
    <w:rsid w:val="00C73101"/>
    <w:rsid w:val="00C7331B"/>
    <w:rsid w:val="00C73344"/>
    <w:rsid w:val="00C7364A"/>
    <w:rsid w:val="00C74714"/>
    <w:rsid w:val="00C75AED"/>
    <w:rsid w:val="00C87317"/>
    <w:rsid w:val="00C87A75"/>
    <w:rsid w:val="00C9032F"/>
    <w:rsid w:val="00C921E3"/>
    <w:rsid w:val="00C922D6"/>
    <w:rsid w:val="00C9267C"/>
    <w:rsid w:val="00C939AC"/>
    <w:rsid w:val="00C95893"/>
    <w:rsid w:val="00CA0CA4"/>
    <w:rsid w:val="00CA1C52"/>
    <w:rsid w:val="00CA1E34"/>
    <w:rsid w:val="00CA212A"/>
    <w:rsid w:val="00CA5833"/>
    <w:rsid w:val="00CA6E3C"/>
    <w:rsid w:val="00CA77D6"/>
    <w:rsid w:val="00CB0406"/>
    <w:rsid w:val="00CB054D"/>
    <w:rsid w:val="00CB1446"/>
    <w:rsid w:val="00CB33D6"/>
    <w:rsid w:val="00CB5E63"/>
    <w:rsid w:val="00CC0B89"/>
    <w:rsid w:val="00CC42D1"/>
    <w:rsid w:val="00CD0043"/>
    <w:rsid w:val="00CD02AE"/>
    <w:rsid w:val="00CD0CB3"/>
    <w:rsid w:val="00CD5B9B"/>
    <w:rsid w:val="00CD5D49"/>
    <w:rsid w:val="00CD5D77"/>
    <w:rsid w:val="00CD6D58"/>
    <w:rsid w:val="00CE08A5"/>
    <w:rsid w:val="00CE145E"/>
    <w:rsid w:val="00CE334E"/>
    <w:rsid w:val="00CF0304"/>
    <w:rsid w:val="00CF3F9A"/>
    <w:rsid w:val="00CF41A6"/>
    <w:rsid w:val="00CF78C6"/>
    <w:rsid w:val="00D01A9F"/>
    <w:rsid w:val="00D03D8C"/>
    <w:rsid w:val="00D05B64"/>
    <w:rsid w:val="00D05BD4"/>
    <w:rsid w:val="00D100C3"/>
    <w:rsid w:val="00D11ACA"/>
    <w:rsid w:val="00D12BD6"/>
    <w:rsid w:val="00D13331"/>
    <w:rsid w:val="00D13E15"/>
    <w:rsid w:val="00D14196"/>
    <w:rsid w:val="00D16D13"/>
    <w:rsid w:val="00D2107E"/>
    <w:rsid w:val="00D21EA3"/>
    <w:rsid w:val="00D247ED"/>
    <w:rsid w:val="00D25002"/>
    <w:rsid w:val="00D2512D"/>
    <w:rsid w:val="00D25CF1"/>
    <w:rsid w:val="00D32166"/>
    <w:rsid w:val="00D32897"/>
    <w:rsid w:val="00D34C65"/>
    <w:rsid w:val="00D363C3"/>
    <w:rsid w:val="00D410C2"/>
    <w:rsid w:val="00D41F02"/>
    <w:rsid w:val="00D44F69"/>
    <w:rsid w:val="00D46F0F"/>
    <w:rsid w:val="00D50779"/>
    <w:rsid w:val="00D57F6E"/>
    <w:rsid w:val="00D6401E"/>
    <w:rsid w:val="00D652A9"/>
    <w:rsid w:val="00D653DF"/>
    <w:rsid w:val="00D67A7C"/>
    <w:rsid w:val="00D7016E"/>
    <w:rsid w:val="00D735D8"/>
    <w:rsid w:val="00D743AA"/>
    <w:rsid w:val="00D800E9"/>
    <w:rsid w:val="00D8213A"/>
    <w:rsid w:val="00D84E3F"/>
    <w:rsid w:val="00D8573E"/>
    <w:rsid w:val="00D937E5"/>
    <w:rsid w:val="00D94388"/>
    <w:rsid w:val="00D9551B"/>
    <w:rsid w:val="00D97329"/>
    <w:rsid w:val="00D97687"/>
    <w:rsid w:val="00DA1272"/>
    <w:rsid w:val="00DA4370"/>
    <w:rsid w:val="00DA5015"/>
    <w:rsid w:val="00DA591F"/>
    <w:rsid w:val="00DA683E"/>
    <w:rsid w:val="00DB2E6C"/>
    <w:rsid w:val="00DB385B"/>
    <w:rsid w:val="00DB70D4"/>
    <w:rsid w:val="00DC19B7"/>
    <w:rsid w:val="00DC66AF"/>
    <w:rsid w:val="00DC6BD5"/>
    <w:rsid w:val="00DC7F66"/>
    <w:rsid w:val="00DD15FC"/>
    <w:rsid w:val="00DD37A5"/>
    <w:rsid w:val="00DD5E67"/>
    <w:rsid w:val="00DD7FA7"/>
    <w:rsid w:val="00DE001C"/>
    <w:rsid w:val="00DE0DE2"/>
    <w:rsid w:val="00DE48ED"/>
    <w:rsid w:val="00DE4A6D"/>
    <w:rsid w:val="00DF2AA8"/>
    <w:rsid w:val="00DF6751"/>
    <w:rsid w:val="00DF6AFB"/>
    <w:rsid w:val="00E03117"/>
    <w:rsid w:val="00E03331"/>
    <w:rsid w:val="00E0364D"/>
    <w:rsid w:val="00E069CC"/>
    <w:rsid w:val="00E223A6"/>
    <w:rsid w:val="00E2635D"/>
    <w:rsid w:val="00E26F64"/>
    <w:rsid w:val="00E30FB1"/>
    <w:rsid w:val="00E3489E"/>
    <w:rsid w:val="00E34FDE"/>
    <w:rsid w:val="00E36052"/>
    <w:rsid w:val="00E36155"/>
    <w:rsid w:val="00E365F8"/>
    <w:rsid w:val="00E4097D"/>
    <w:rsid w:val="00E420BB"/>
    <w:rsid w:val="00E42882"/>
    <w:rsid w:val="00E449AD"/>
    <w:rsid w:val="00E478CE"/>
    <w:rsid w:val="00E53C83"/>
    <w:rsid w:val="00E568A1"/>
    <w:rsid w:val="00E60DCC"/>
    <w:rsid w:val="00E62E8A"/>
    <w:rsid w:val="00E632CD"/>
    <w:rsid w:val="00E64F8E"/>
    <w:rsid w:val="00E650BD"/>
    <w:rsid w:val="00E65DA8"/>
    <w:rsid w:val="00E66EC9"/>
    <w:rsid w:val="00E74E40"/>
    <w:rsid w:val="00E75F6A"/>
    <w:rsid w:val="00E76E75"/>
    <w:rsid w:val="00E7736A"/>
    <w:rsid w:val="00E80601"/>
    <w:rsid w:val="00E80854"/>
    <w:rsid w:val="00E844B2"/>
    <w:rsid w:val="00E9393E"/>
    <w:rsid w:val="00E9429C"/>
    <w:rsid w:val="00E95218"/>
    <w:rsid w:val="00E96DDE"/>
    <w:rsid w:val="00EA419D"/>
    <w:rsid w:val="00EA64F3"/>
    <w:rsid w:val="00EB1708"/>
    <w:rsid w:val="00EB3A4D"/>
    <w:rsid w:val="00EB76E0"/>
    <w:rsid w:val="00EC5A06"/>
    <w:rsid w:val="00EC5DF9"/>
    <w:rsid w:val="00EC662F"/>
    <w:rsid w:val="00ED136D"/>
    <w:rsid w:val="00ED1D56"/>
    <w:rsid w:val="00ED5376"/>
    <w:rsid w:val="00ED770E"/>
    <w:rsid w:val="00EE461E"/>
    <w:rsid w:val="00EE7BAF"/>
    <w:rsid w:val="00EF5613"/>
    <w:rsid w:val="00EF69B2"/>
    <w:rsid w:val="00F0191E"/>
    <w:rsid w:val="00F03700"/>
    <w:rsid w:val="00F03D34"/>
    <w:rsid w:val="00F04F09"/>
    <w:rsid w:val="00F04F19"/>
    <w:rsid w:val="00F11061"/>
    <w:rsid w:val="00F12BD2"/>
    <w:rsid w:val="00F23791"/>
    <w:rsid w:val="00F23CC1"/>
    <w:rsid w:val="00F23D9B"/>
    <w:rsid w:val="00F248AB"/>
    <w:rsid w:val="00F26D9C"/>
    <w:rsid w:val="00F277D6"/>
    <w:rsid w:val="00F3519C"/>
    <w:rsid w:val="00F4198B"/>
    <w:rsid w:val="00F42DAD"/>
    <w:rsid w:val="00F42F6A"/>
    <w:rsid w:val="00F47641"/>
    <w:rsid w:val="00F52200"/>
    <w:rsid w:val="00F53404"/>
    <w:rsid w:val="00F552A8"/>
    <w:rsid w:val="00F61B6F"/>
    <w:rsid w:val="00F65493"/>
    <w:rsid w:val="00F70090"/>
    <w:rsid w:val="00F711F6"/>
    <w:rsid w:val="00F727AF"/>
    <w:rsid w:val="00F749F8"/>
    <w:rsid w:val="00F76411"/>
    <w:rsid w:val="00F80246"/>
    <w:rsid w:val="00F807AD"/>
    <w:rsid w:val="00F87E78"/>
    <w:rsid w:val="00F94839"/>
    <w:rsid w:val="00FA43D7"/>
    <w:rsid w:val="00FA6351"/>
    <w:rsid w:val="00FA7F2E"/>
    <w:rsid w:val="00FB17D4"/>
    <w:rsid w:val="00FB2722"/>
    <w:rsid w:val="00FB3110"/>
    <w:rsid w:val="00FB3C6D"/>
    <w:rsid w:val="00FB46E5"/>
    <w:rsid w:val="00FB7761"/>
    <w:rsid w:val="00FC0F7C"/>
    <w:rsid w:val="00FC22E6"/>
    <w:rsid w:val="00FC31C9"/>
    <w:rsid w:val="00FC403C"/>
    <w:rsid w:val="00FC6EAB"/>
    <w:rsid w:val="00FC7680"/>
    <w:rsid w:val="00FD0A41"/>
    <w:rsid w:val="00FD4AC0"/>
    <w:rsid w:val="00FD6830"/>
    <w:rsid w:val="00FD6CBE"/>
    <w:rsid w:val="00FE0BEB"/>
    <w:rsid w:val="00FE0EE0"/>
    <w:rsid w:val="00FE1428"/>
    <w:rsid w:val="00FE4D06"/>
    <w:rsid w:val="00FE6AE4"/>
    <w:rsid w:val="00FF031E"/>
    <w:rsid w:val="00FF31FC"/>
    <w:rsid w:val="00FF6AF2"/>
    <w:rsid w:val="00FF6DB3"/>
    <w:rsid w:val="00FF6DDB"/>
    <w:rsid w:val="00FF724F"/>
    <w:rsid w:val="03887DF1"/>
    <w:rsid w:val="04477A12"/>
    <w:rsid w:val="07765D50"/>
    <w:rsid w:val="08A3201F"/>
    <w:rsid w:val="08A502BB"/>
    <w:rsid w:val="0AB73885"/>
    <w:rsid w:val="0B8A683F"/>
    <w:rsid w:val="0D11075B"/>
    <w:rsid w:val="14347578"/>
    <w:rsid w:val="16043438"/>
    <w:rsid w:val="160F37A4"/>
    <w:rsid w:val="1C362DB5"/>
    <w:rsid w:val="1F8D258D"/>
    <w:rsid w:val="202253C5"/>
    <w:rsid w:val="20CF7B31"/>
    <w:rsid w:val="21AA0A14"/>
    <w:rsid w:val="22591459"/>
    <w:rsid w:val="269D21EA"/>
    <w:rsid w:val="27662616"/>
    <w:rsid w:val="29A04C9D"/>
    <w:rsid w:val="29F13D11"/>
    <w:rsid w:val="2C64391A"/>
    <w:rsid w:val="33AA52CB"/>
    <w:rsid w:val="39A56E62"/>
    <w:rsid w:val="47C3298A"/>
    <w:rsid w:val="50511668"/>
    <w:rsid w:val="51096D2A"/>
    <w:rsid w:val="526D31C8"/>
    <w:rsid w:val="541B6FAE"/>
    <w:rsid w:val="570E1063"/>
    <w:rsid w:val="58E6115F"/>
    <w:rsid w:val="5A393032"/>
    <w:rsid w:val="5CF42FA1"/>
    <w:rsid w:val="5CF95904"/>
    <w:rsid w:val="5DC145F9"/>
    <w:rsid w:val="620579B7"/>
    <w:rsid w:val="62CD6914"/>
    <w:rsid w:val="62D43C4D"/>
    <w:rsid w:val="64617EFD"/>
    <w:rsid w:val="6F5F19C8"/>
    <w:rsid w:val="70F01669"/>
    <w:rsid w:val="7ACF0210"/>
    <w:rsid w:val="7CD7004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8"/>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link w:val="2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w:hAnsi="Courier" w:eastAsia="宋体" w:cs="Courier"/>
      <w:kern w:val="0"/>
      <w:sz w:val="20"/>
      <w:szCs w:val="20"/>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0"/>
    <w:rPr>
      <w:b/>
      <w:bCs/>
    </w:rPr>
  </w:style>
  <w:style w:type="paragraph" w:customStyle="1" w:styleId="12">
    <w:name w:val="列出段落1"/>
    <w:basedOn w:val="1"/>
    <w:qFormat/>
    <w:uiPriority w:val="34"/>
    <w:pPr>
      <w:ind w:firstLine="420" w:firstLineChars="200"/>
    </w:pPr>
    <w:rPr>
      <w:rFonts w:ascii="Calibri" w:hAnsi="Calibri" w:eastAsia="宋体" w:cs="黑体"/>
    </w:rPr>
  </w:style>
  <w:style w:type="character" w:customStyle="1" w:styleId="13">
    <w:name w:val="标题 1 Char"/>
    <w:basedOn w:val="10"/>
    <w:link w:val="2"/>
    <w:qFormat/>
    <w:uiPriority w:val="9"/>
    <w:rPr>
      <w:b/>
      <w:bCs/>
      <w:kern w:val="44"/>
      <w:sz w:val="44"/>
      <w:szCs w:val="44"/>
    </w:rPr>
  </w:style>
  <w:style w:type="character" w:customStyle="1" w:styleId="14">
    <w:name w:val="标题 2 Char"/>
    <w:basedOn w:val="10"/>
    <w:link w:val="3"/>
    <w:qFormat/>
    <w:uiPriority w:val="9"/>
    <w:rPr>
      <w:rFonts w:asciiTheme="majorHAnsi" w:hAnsiTheme="majorHAnsi" w:eastAsiaTheme="majorEastAsia" w:cstheme="majorBidi"/>
      <w:b/>
      <w:bCs/>
      <w:sz w:val="32"/>
      <w:szCs w:val="32"/>
    </w:rPr>
  </w:style>
  <w:style w:type="character" w:customStyle="1" w:styleId="15">
    <w:name w:val="页眉 Char"/>
    <w:basedOn w:val="10"/>
    <w:link w:val="6"/>
    <w:qFormat/>
    <w:uiPriority w:val="99"/>
    <w:rPr>
      <w:sz w:val="18"/>
      <w:szCs w:val="18"/>
    </w:rPr>
  </w:style>
  <w:style w:type="character" w:customStyle="1" w:styleId="16">
    <w:name w:val="页脚 Char"/>
    <w:basedOn w:val="10"/>
    <w:link w:val="5"/>
    <w:qFormat/>
    <w:uiPriority w:val="99"/>
    <w:rPr>
      <w:sz w:val="18"/>
      <w:szCs w:val="18"/>
    </w:rPr>
  </w:style>
  <w:style w:type="paragraph" w:styleId="17">
    <w:name w:val="List Paragraph"/>
    <w:basedOn w:val="1"/>
    <w:qFormat/>
    <w:uiPriority w:val="34"/>
    <w:pPr>
      <w:ind w:firstLine="420" w:firstLineChars="200"/>
    </w:pPr>
  </w:style>
  <w:style w:type="character" w:customStyle="1" w:styleId="18">
    <w:name w:val="批注框文本 Char"/>
    <w:basedOn w:val="10"/>
    <w:link w:val="4"/>
    <w:semiHidden/>
    <w:qFormat/>
    <w:uiPriority w:val="99"/>
    <w:rPr>
      <w:sz w:val="18"/>
      <w:szCs w:val="18"/>
    </w:rPr>
  </w:style>
  <w:style w:type="paragraph" w:styleId="19">
    <w:name w:val="No Spacing"/>
    <w:qFormat/>
    <w:uiPriority w:val="1"/>
    <w:pPr>
      <w:widowControl w:val="0"/>
      <w:jc w:val="both"/>
    </w:pPr>
    <w:rPr>
      <w:rFonts w:ascii="Calibri" w:hAnsi="Calibri" w:eastAsia="宋体" w:cs="Times New Roman"/>
      <w:kern w:val="2"/>
      <w:sz w:val="24"/>
      <w:szCs w:val="24"/>
      <w:lang w:val="en-US" w:eastAsia="zh-CN" w:bidi="ar-SA"/>
    </w:rPr>
  </w:style>
  <w:style w:type="character" w:customStyle="1" w:styleId="20">
    <w:name w:val="HTML 预设格式 Char"/>
    <w:basedOn w:val="10"/>
    <w:link w:val="7"/>
    <w:qFormat/>
    <w:uiPriority w:val="99"/>
    <w:rPr>
      <w:rFonts w:ascii="Courier" w:hAnsi="Courier" w:eastAsia="宋体" w:cs="Courier"/>
      <w:kern w:val="0"/>
      <w:sz w:val="20"/>
      <w:szCs w:val="20"/>
    </w:rPr>
  </w:style>
  <w:style w:type="paragraph" w:customStyle="1" w:styleId="21">
    <w:name w:val="_Style 20"/>
    <w:basedOn w:val="1"/>
    <w:next w:val="17"/>
    <w:qFormat/>
    <w:uiPriority w:val="34"/>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经典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49" textRotate="1"/>
    <customShpInfo spid="_x0000_s2050"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032DDFB-8B0C-43BA-BC20-39081708A09B}">
  <ds:schemaRefs/>
</ds:datastoreItem>
</file>

<file path=docProps/app.xml><?xml version="1.0" encoding="utf-8"?>
<Properties xmlns="http://schemas.openxmlformats.org/officeDocument/2006/extended-properties" xmlns:vt="http://schemas.openxmlformats.org/officeDocument/2006/docPropsVTypes">
  <Template>Normal.dotm</Template>
  <Pages>22</Pages>
  <Words>1484</Words>
  <Characters>8465</Characters>
  <Lines>70</Lines>
  <Paragraphs>19</Paragraphs>
  <TotalTime>20</TotalTime>
  <ScaleCrop>false</ScaleCrop>
  <LinksUpToDate>false</LinksUpToDate>
  <CharactersWithSpaces>9930</CharactersWithSpaces>
  <Application>WPS Office_11.8.2.12119_F1E327BC-269C-435d-A152-05C5408002CA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2019-11-14T15:29:00Z</dcterms:created>
  <dc:creator>CN=朱筠/OU=市场监管处/O=serchzma01</dc:creator>
  <cp:lastModifiedBy>smnpc</cp:lastModifiedBy>
  <cp:lastPrinted>2026-09-30T07:41:40Z</cp:lastPrinted>
  <dcterms:modified xsi:type="dcterms:W3CDTF">2026-09-30T08:05:47Z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2052-11.8.2.12119</vt:lpwstr>
  </property>
  <property fmtid="{D5CDD505-2E9C-101B-9397-08002B2CF9AE}" pid="3" name="ICV">
    <vt:lpwstr>8FD4DF3BC4304C2AA1B16D5C39070C20</vt:lpwstr>
  </property>
</Properties>
</file>