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Calibri" w:eastAsia="黑体" w:cs="Times New Roman"/>
          <w:sz w:val="32"/>
          <w:szCs w:val="20"/>
          <w:lang w:val="en-US" w:eastAsia="zh-CN"/>
        </w:rPr>
      </w:pPr>
      <w:r>
        <w:rPr>
          <w:rFonts w:hint="eastAsia" w:ascii="黑体" w:hAnsi="Calibri" w:eastAsia="黑体" w:cs="Times New Roman"/>
          <w:sz w:val="32"/>
          <w:szCs w:val="20"/>
        </w:rPr>
        <w:t>附件</w:t>
      </w:r>
      <w:r>
        <w:rPr>
          <w:rFonts w:hint="eastAsia" w:ascii="黑体" w:hAnsi="Calibri" w:eastAsia="黑体" w:cs="Times New Roman"/>
          <w:sz w:val="32"/>
          <w:szCs w:val="20"/>
          <w:lang w:val="en-US" w:eastAsia="zh-CN"/>
        </w:rPr>
        <w:t>2</w:t>
      </w:r>
    </w:p>
    <w:p>
      <w:pPr>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浙江电力市场运营业务监管指引</w:t>
      </w:r>
    </w:p>
    <w:p>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征求意见稿</w:t>
      </w:r>
      <w:r>
        <w:rPr>
          <w:rFonts w:hint="eastAsia" w:ascii="仿宋_GB2312" w:hAnsi="仿宋" w:eastAsia="仿宋_GB2312"/>
          <w:sz w:val="32"/>
          <w:szCs w:val="32"/>
          <w:lang w:eastAsia="zh-CN"/>
        </w:rPr>
        <w:t>）</w:t>
      </w:r>
    </w:p>
    <w:p>
      <w:pPr>
        <w:ind w:firstLine="645"/>
        <w:jc w:val="left"/>
        <w:rPr>
          <w:rFonts w:ascii="仿宋" w:hAnsi="仿宋" w:eastAsia="仿宋"/>
          <w:sz w:val="32"/>
          <w:szCs w:val="32"/>
        </w:rPr>
      </w:pPr>
    </w:p>
    <w:p>
      <w:pPr>
        <w:ind w:left="645"/>
        <w:jc w:val="center"/>
        <w:rPr>
          <w:rFonts w:ascii="仿宋" w:hAnsi="仿宋" w:eastAsia="仿宋"/>
          <w:sz w:val="32"/>
          <w:szCs w:val="32"/>
        </w:rPr>
      </w:pPr>
      <w:r>
        <w:rPr>
          <w:rFonts w:hint="eastAsia" w:asciiTheme="minorEastAsia" w:hAnsiTheme="minorEastAsia"/>
          <w:sz w:val="32"/>
          <w:szCs w:val="32"/>
        </w:rPr>
        <w:t>第一章 总则</w:t>
      </w:r>
    </w:p>
    <w:p>
      <w:pPr>
        <w:ind w:firstLine="645"/>
        <w:rPr>
          <w:rFonts w:hint="eastAsia" w:ascii="仿宋_GB2312" w:hAnsi="仿宋" w:eastAsia="仿宋_GB2312"/>
          <w:sz w:val="32"/>
          <w:szCs w:val="32"/>
          <w:lang w:eastAsia="zh-CN"/>
        </w:rPr>
      </w:pPr>
      <w:r>
        <w:rPr>
          <w:rFonts w:hint="eastAsia" w:ascii="仿宋_GB2312" w:hAnsi="仿宋" w:eastAsia="仿宋_GB2312"/>
          <w:b/>
          <w:sz w:val="32"/>
          <w:szCs w:val="32"/>
        </w:rPr>
        <w:t>第一条</w:t>
      </w:r>
      <w:r>
        <w:rPr>
          <w:rFonts w:hint="eastAsia" w:ascii="仿宋_GB2312" w:hAnsi="仿宋" w:eastAsia="仿宋_GB2312"/>
          <w:sz w:val="32"/>
          <w:szCs w:val="32"/>
        </w:rPr>
        <w:t xml:space="preserve"> 为了加</w:t>
      </w:r>
      <w:bookmarkStart w:id="0" w:name="_GoBack"/>
      <w:bookmarkEnd w:id="0"/>
      <w:r>
        <w:rPr>
          <w:rFonts w:hint="eastAsia" w:ascii="仿宋_GB2312" w:hAnsi="仿宋" w:eastAsia="仿宋_GB2312"/>
          <w:sz w:val="32"/>
          <w:szCs w:val="32"/>
        </w:rPr>
        <w:t>强浙江电力市场运营业务监管，维护电力市场秩序，保护经营主体合法权益和社会公共利益，根据《电力监管条例》《电力市场监管办法》《浙江电力市场监管实施办法》等法规和规范性文件规定,制定本指引。</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第二条 </w:t>
      </w:r>
      <w:r>
        <w:rPr>
          <w:rFonts w:hint="eastAsia" w:ascii="仿宋_GB2312" w:hAnsi="仿宋" w:eastAsia="仿宋_GB2312"/>
          <w:sz w:val="32"/>
          <w:szCs w:val="32"/>
        </w:rPr>
        <w:t>本指引适用于国家能源局浙江监管办公室（以下简称浙江能源监管办）对电网企业、电力市场运营机构市场运营行为的监管。浙江省发展和改革委员会和浙江省能源局（以下简称省发展改革委（能源局））根据职能依法履行监督管理职责。</w:t>
      </w:r>
    </w:p>
    <w:p>
      <w:pPr>
        <w:ind w:firstLine="645"/>
        <w:rPr>
          <w:rFonts w:ascii="仿宋_GB2312" w:hAnsi="仿宋" w:eastAsia="仿宋_GB2312"/>
          <w:sz w:val="32"/>
          <w:szCs w:val="32"/>
        </w:rPr>
      </w:pPr>
      <w:r>
        <w:rPr>
          <w:rFonts w:hint="eastAsia" w:ascii="仿宋_GB2312" w:hAnsi="仿宋" w:eastAsia="仿宋_GB2312"/>
          <w:sz w:val="32"/>
          <w:szCs w:val="32"/>
        </w:rPr>
        <w:t>电力市场运营机构包括电力交易机构、电力调度机构，电力交易机构指浙江电力交易中心有限公司，电力调度机构指国网浙江电力调度控制中心等。</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第三条 </w:t>
      </w:r>
      <w:r>
        <w:rPr>
          <w:rFonts w:hint="eastAsia" w:ascii="仿宋_GB2312" w:hAnsi="仿宋" w:eastAsia="仿宋_GB2312"/>
          <w:sz w:val="32"/>
          <w:szCs w:val="32"/>
        </w:rPr>
        <w:t>电网企业、电力市场运营机构市场运营监管遵循公开、公正和效率的原则。</w:t>
      </w:r>
    </w:p>
    <w:p>
      <w:pPr>
        <w:ind w:firstLine="645"/>
        <w:rPr>
          <w:rFonts w:hint="eastAsia" w:ascii="仿宋_GB2312" w:hAnsi="仿宋" w:eastAsia="仿宋_GB2312"/>
          <w:sz w:val="32"/>
          <w:szCs w:val="32"/>
        </w:rPr>
      </w:pPr>
      <w:r>
        <w:rPr>
          <w:rFonts w:hint="eastAsia" w:ascii="仿宋_GB2312" w:hAnsi="仿宋" w:eastAsia="仿宋_GB2312"/>
          <w:b/>
          <w:sz w:val="32"/>
          <w:szCs w:val="32"/>
        </w:rPr>
        <w:t>第四条</w:t>
      </w:r>
      <w:r>
        <w:rPr>
          <w:rFonts w:hint="eastAsia" w:ascii="仿宋_GB2312" w:hAnsi="仿宋" w:eastAsia="仿宋_GB2312"/>
          <w:sz w:val="32"/>
          <w:szCs w:val="32"/>
        </w:rPr>
        <w:t xml:space="preserve"> 电网企业、电力市场运营机构依据相应法律法规授权，按照国家及浙江电力体制改革相关政策文件和市场交易规则等有关规定，承担相应的市场运营业务，并接受监管。</w:t>
      </w:r>
    </w:p>
    <w:p>
      <w:pPr>
        <w:ind w:firstLine="645"/>
        <w:rPr>
          <w:rFonts w:ascii="仿宋_GB2312" w:hAnsi="仿宋" w:eastAsia="仿宋_GB2312"/>
          <w:sz w:val="32"/>
          <w:szCs w:val="32"/>
        </w:rPr>
      </w:pPr>
      <w:r>
        <w:rPr>
          <w:rFonts w:hint="eastAsia" w:ascii="仿宋_GB2312" w:hAnsi="仿宋" w:eastAsia="仿宋_GB2312"/>
          <w:sz w:val="32"/>
          <w:szCs w:val="32"/>
        </w:rPr>
        <w:t>电网企业、电力市场运营机构依法履行职责，其合法权益受法律保护。</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第五条 </w:t>
      </w:r>
      <w:r>
        <w:rPr>
          <w:rFonts w:hint="eastAsia" w:ascii="仿宋_GB2312" w:hAnsi="仿宋" w:eastAsia="仿宋_GB2312"/>
          <w:sz w:val="32"/>
          <w:szCs w:val="32"/>
        </w:rPr>
        <w:t>浙江能源监管办可以根据需要，聘请第三方对电力市场运营机构进行电力市场业务专业评估，评估费用按规定列支。</w:t>
      </w:r>
    </w:p>
    <w:p>
      <w:pPr>
        <w:ind w:firstLine="645"/>
        <w:rPr>
          <w:rFonts w:ascii="仿宋_GB2312" w:hAnsi="仿宋" w:eastAsia="仿宋_GB2312"/>
          <w:sz w:val="32"/>
          <w:szCs w:val="32"/>
        </w:rPr>
      </w:pPr>
      <w:r>
        <w:rPr>
          <w:rFonts w:hint="eastAsia" w:ascii="仿宋_GB2312" w:hAnsi="仿宋" w:eastAsia="仿宋_GB2312"/>
          <w:b/>
          <w:sz w:val="32"/>
          <w:szCs w:val="32"/>
        </w:rPr>
        <w:t>第六条</w:t>
      </w:r>
      <w:r>
        <w:rPr>
          <w:rFonts w:hint="eastAsia" w:ascii="仿宋_GB2312" w:hAnsi="仿宋" w:eastAsia="仿宋_GB2312"/>
          <w:sz w:val="32"/>
          <w:szCs w:val="32"/>
        </w:rPr>
        <w:t xml:space="preserve"> 任何单位和个人发现存在违反本指引的行为，可以通过12398能源监管热线等方式向浙江能源监管办投诉或举报，浙江能源监管办应当依法处理，并为投诉举报人保密。</w:t>
      </w:r>
    </w:p>
    <w:p>
      <w:pPr>
        <w:jc w:val="center"/>
        <w:rPr>
          <w:rFonts w:asciiTheme="minorEastAsia" w:hAnsiTheme="minorEastAsia"/>
          <w:sz w:val="32"/>
          <w:szCs w:val="32"/>
        </w:rPr>
      </w:pPr>
      <w:r>
        <w:rPr>
          <w:rFonts w:hint="eastAsia" w:asciiTheme="minorEastAsia" w:hAnsiTheme="minorEastAsia"/>
          <w:sz w:val="32"/>
          <w:szCs w:val="32"/>
        </w:rPr>
        <w:t>第二章 市场运营合规性监管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第七条</w:t>
      </w:r>
      <w:r>
        <w:rPr>
          <w:rFonts w:hint="eastAsia" w:ascii="仿宋_GB2312" w:hAnsi="仿宋" w:eastAsia="仿宋_GB2312"/>
          <w:sz w:val="32"/>
          <w:szCs w:val="32"/>
        </w:rPr>
        <w:t xml:space="preserve"> 浙江能源监管办对电力交易机构的独立性实施监管。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（一）电力交易机构要按照政府批准的章程和规则组建，实现独立规范运行，交易业务应与电网企业其他业务分开。电力交易机构应体现多方代表性，单一股东持股比例不得超过政府有权部门规定的上限。</w:t>
      </w:r>
    </w:p>
    <w:p>
      <w:pPr>
        <w:ind w:firstLine="645"/>
        <w:rPr>
          <w:rFonts w:hint="eastAsia" w:ascii="仿宋_GB2312" w:hAnsi="仿宋" w:eastAsia="仿宋_GB2312"/>
          <w:sz w:val="32"/>
          <w:szCs w:val="32"/>
        </w:rPr>
      </w:pPr>
      <w:r>
        <w:rPr>
          <w:rFonts w:hint="eastAsia" w:ascii="仿宋_GB2312" w:hAnsi="仿宋" w:eastAsia="仿宋_GB2312"/>
          <w:sz w:val="32"/>
          <w:szCs w:val="32"/>
        </w:rPr>
        <w:t>电力交易机构修改公司章程应遵守《公司法》等法律法规规定。修改后的章程报政府有权部门批准后实施，并报送浙江能源监管办。</w:t>
      </w:r>
    </w:p>
    <w:p>
      <w:pPr>
        <w:ind w:firstLine="645"/>
        <w:rPr>
          <w:rFonts w:hint="eastAsia" w:ascii="仿宋_GB2312" w:hAnsi="仿宋" w:eastAsia="仿宋_GB2312"/>
          <w:sz w:val="32"/>
          <w:szCs w:val="32"/>
        </w:rPr>
      </w:pPr>
      <w:r>
        <w:rPr>
          <w:rFonts w:hint="eastAsia" w:ascii="仿宋_GB2312" w:hAnsi="仿宋" w:eastAsia="仿宋_GB2312"/>
          <w:sz w:val="32"/>
          <w:szCs w:val="32"/>
        </w:rPr>
        <w:t>电力交易机构重大资产的重组、转让等重大事项，应按章程及国家有关规定开展，并报告浙江能源监管办。</w:t>
      </w:r>
    </w:p>
    <w:p>
      <w:pPr>
        <w:ind w:firstLine="645"/>
        <w:rPr>
          <w:rFonts w:hint="eastAsia" w:ascii="仿宋_GB2312" w:hAnsi="仿宋" w:eastAsia="仿宋_GB2312"/>
          <w:sz w:val="32"/>
          <w:szCs w:val="32"/>
        </w:rPr>
      </w:pPr>
      <w:r>
        <w:rPr>
          <w:rFonts w:hint="eastAsia" w:ascii="仿宋_GB2312" w:hAnsi="仿宋" w:eastAsia="仿宋_GB2312"/>
          <w:sz w:val="32"/>
          <w:szCs w:val="32"/>
        </w:rPr>
        <w:t>电力交易机构应具有与履行交易职责相适应的人、财、物，日常管理运营不受经营主体干预。</w:t>
      </w:r>
    </w:p>
    <w:p>
      <w:pPr>
        <w:ind w:firstLine="645"/>
        <w:rPr>
          <w:rFonts w:hint="eastAsia" w:ascii="仿宋_GB2312" w:hAnsi="仿宋" w:eastAsia="仿宋_GB2312"/>
          <w:sz w:val="32"/>
          <w:szCs w:val="32"/>
        </w:rPr>
      </w:pPr>
      <w:r>
        <w:rPr>
          <w:rFonts w:hint="eastAsia" w:ascii="仿宋_GB2312" w:hAnsi="仿宋" w:eastAsia="仿宋_GB2312"/>
          <w:sz w:val="32"/>
          <w:szCs w:val="32"/>
        </w:rPr>
        <w:t>（二）电力交易机构要构建保障交易公平的机制，促进市场规范有序，应当在门户网站、电力市场交易平台首页位置公示12398能源监管热线标识以及微信公众号、APP二维码标识，并在营业场所显著位置固定公示12398能源监管热线标识和微信公众号、APP二维码标识内容。</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第八条 </w:t>
      </w:r>
      <w:r>
        <w:rPr>
          <w:rFonts w:hint="eastAsia" w:ascii="仿宋_GB2312" w:hAnsi="仿宋" w:eastAsia="仿宋_GB2312"/>
          <w:sz w:val="32"/>
          <w:szCs w:val="32"/>
        </w:rPr>
        <w:t>电力交易机构应依法依规建立完善财务管理制度，按规定开展外部财务审计，电力交易机构收费后披露经审计的收支总体情况，接受浙江能源监管办监管。</w:t>
      </w:r>
    </w:p>
    <w:p>
      <w:pPr>
        <w:ind w:firstLine="645"/>
        <w:rPr>
          <w:rFonts w:hint="eastAsia" w:ascii="仿宋_GB2312" w:hAnsi="仿宋" w:eastAsia="仿宋_GB2312"/>
          <w:sz w:val="32"/>
          <w:szCs w:val="32"/>
        </w:rPr>
      </w:pPr>
      <w:r>
        <w:rPr>
          <w:rFonts w:hint="eastAsia" w:ascii="仿宋_GB2312" w:hAnsi="仿宋" w:eastAsia="仿宋_GB2312"/>
          <w:sz w:val="32"/>
          <w:szCs w:val="32"/>
        </w:rPr>
        <w:t>电力交易机构需要收费的，应当建立健全收费公示制度，在电力市场交易平台和交易机构营业场所的显著位置公示收费项目、收费标准、收费依据。</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第九条 </w:t>
      </w:r>
      <w:r>
        <w:rPr>
          <w:rFonts w:hint="eastAsia" w:ascii="仿宋_GB2312" w:hAnsi="仿宋" w:eastAsia="仿宋_GB2312"/>
          <w:sz w:val="32"/>
          <w:szCs w:val="32"/>
        </w:rPr>
        <w:t>电力交易机构应当规范市场注册管理，统一注册服务流程、服务规范、要件清单、审验标准等，明确受理期限、接待日、公示日。不得出现以下情形：</w:t>
      </w:r>
    </w:p>
    <w:p>
      <w:pPr>
        <w:ind w:firstLine="645"/>
        <w:rPr>
          <w:rFonts w:hint="eastAsia" w:ascii="仿宋_GB2312" w:hAnsi="仿宋" w:eastAsia="仿宋_GB2312"/>
          <w:sz w:val="32"/>
          <w:szCs w:val="32"/>
        </w:rPr>
      </w:pPr>
      <w:r>
        <w:rPr>
          <w:rFonts w:hint="eastAsia" w:ascii="仿宋_GB2312" w:hAnsi="仿宋" w:eastAsia="仿宋_GB2312"/>
          <w:sz w:val="32"/>
          <w:szCs w:val="32"/>
        </w:rPr>
        <w:t>（一）为不符合市场注册条件的企业办理市场注册；</w:t>
      </w:r>
    </w:p>
    <w:p>
      <w:pPr>
        <w:ind w:firstLine="645"/>
        <w:rPr>
          <w:rFonts w:hint="eastAsia" w:ascii="仿宋_GB2312" w:hAnsi="仿宋" w:eastAsia="仿宋_GB2312"/>
          <w:sz w:val="32"/>
          <w:szCs w:val="32"/>
        </w:rPr>
      </w:pPr>
      <w:r>
        <w:rPr>
          <w:rFonts w:hint="eastAsia" w:ascii="仿宋_GB2312" w:hAnsi="仿宋" w:eastAsia="仿宋_GB2312"/>
          <w:sz w:val="32"/>
          <w:szCs w:val="32"/>
        </w:rPr>
        <w:t>（二）拒绝受理符合市场注册条件的企业提交的注册申请；</w:t>
      </w:r>
    </w:p>
    <w:p>
      <w:pPr>
        <w:ind w:firstLine="645"/>
        <w:rPr>
          <w:rFonts w:hint="eastAsia" w:ascii="仿宋_GB2312" w:hAnsi="仿宋" w:eastAsia="仿宋_GB2312"/>
          <w:sz w:val="32"/>
          <w:szCs w:val="32"/>
        </w:rPr>
      </w:pPr>
      <w:r>
        <w:rPr>
          <w:rFonts w:hint="eastAsia" w:ascii="仿宋_GB2312" w:hAnsi="仿宋" w:eastAsia="仿宋_GB2312"/>
          <w:sz w:val="32"/>
          <w:szCs w:val="32"/>
        </w:rPr>
        <w:t>（三）未按规定时限、流程办理市场注册业务；</w:t>
      </w:r>
    </w:p>
    <w:p>
      <w:pPr>
        <w:ind w:firstLine="645"/>
        <w:rPr>
          <w:rFonts w:ascii="仿宋_GB2312" w:hAnsi="仿宋" w:eastAsia="仿宋_GB2312"/>
          <w:sz w:val="32"/>
          <w:szCs w:val="32"/>
        </w:rPr>
      </w:pPr>
      <w:r>
        <w:rPr>
          <w:rFonts w:hint="eastAsia" w:ascii="仿宋_GB2312" w:hAnsi="仿宋" w:eastAsia="仿宋_GB2312"/>
          <w:sz w:val="32"/>
          <w:szCs w:val="32"/>
        </w:rPr>
        <w:t>（四）其他违反电力监管法规、规章、规则的情形。</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第十条 </w:t>
      </w:r>
      <w:r>
        <w:rPr>
          <w:rFonts w:hint="eastAsia" w:ascii="仿宋_GB2312" w:hAnsi="仿宋" w:eastAsia="仿宋_GB2312"/>
          <w:sz w:val="32"/>
          <w:szCs w:val="32"/>
        </w:rPr>
        <w:t>电力交易机构应当建立市场注册动态管理机制，按规定定期跟踪经营主体持续满足注册条件情况。如有投诉举报或发现存在异常的情况，根据相关规定进行处理并及时向浙江能源监管办报告有关情况。</w:t>
      </w:r>
    </w:p>
    <w:p>
      <w:pPr>
        <w:ind w:firstLine="645"/>
        <w:rPr>
          <w:rFonts w:ascii="仿宋_GB2312" w:hAnsi="仿宋" w:eastAsia="仿宋_GB2312"/>
          <w:sz w:val="32"/>
          <w:szCs w:val="32"/>
        </w:rPr>
      </w:pPr>
      <w:r>
        <w:rPr>
          <w:rFonts w:hint="eastAsia" w:ascii="仿宋_GB2312" w:hAnsi="仿宋" w:eastAsia="仿宋_GB2312"/>
          <w:b/>
          <w:sz w:val="32"/>
          <w:szCs w:val="32"/>
        </w:rPr>
        <w:t>第十一条</w:t>
      </w:r>
      <w:r>
        <w:rPr>
          <w:rFonts w:hint="eastAsia" w:ascii="仿宋_GB2312" w:hAnsi="仿宋" w:eastAsia="仿宋_GB2312"/>
          <w:sz w:val="32"/>
          <w:szCs w:val="32"/>
        </w:rPr>
        <w:t xml:space="preserve"> 电力市场运营机构根据分工对经营主体提交的注册参数进行监控，逐步建立健全监控分析的方法或手段，通过分析交易行为和抽查试验等方式对注册参数开展核验，发现异常的，应当及时向浙江能源监管办报告。</w:t>
      </w:r>
    </w:p>
    <w:p>
      <w:pPr>
        <w:ind w:firstLine="645"/>
        <w:rPr>
          <w:rFonts w:ascii="仿宋_GB2312" w:hAnsi="仿宋" w:eastAsia="仿宋_GB2312"/>
          <w:sz w:val="32"/>
          <w:szCs w:val="32"/>
        </w:rPr>
      </w:pPr>
      <w:r>
        <w:rPr>
          <w:rFonts w:hint="eastAsia" w:ascii="仿宋_GB2312" w:hAnsi="仿宋" w:eastAsia="仿宋_GB2312"/>
          <w:b/>
          <w:sz w:val="32"/>
          <w:szCs w:val="32"/>
        </w:rPr>
        <w:t>第十二条</w:t>
      </w:r>
      <w:r>
        <w:rPr>
          <w:rFonts w:hint="eastAsia" w:ascii="仿宋_GB2312" w:hAnsi="仿宋" w:eastAsia="仿宋_GB2312"/>
          <w:sz w:val="32"/>
          <w:szCs w:val="32"/>
        </w:rPr>
        <w:t xml:space="preserve"> 电力交易机构应当建立售电公司履约保函额度跟踪预警机制。根据《售电公司管理办法》要求，动态监测售电公司运营履约额度与实际提交的履约保函（保险额度），并按规定频次上报国家及地方主管部门，同步抄送浙江能源监管办。</w:t>
      </w:r>
    </w:p>
    <w:p>
      <w:pPr>
        <w:ind w:firstLine="645"/>
        <w:rPr>
          <w:rFonts w:hint="eastAsia" w:ascii="仿宋_GB2312" w:hAnsi="仿宋" w:eastAsia="仿宋_GB2312"/>
          <w:sz w:val="32"/>
          <w:szCs w:val="32"/>
        </w:rPr>
      </w:pPr>
      <w:r>
        <w:rPr>
          <w:rFonts w:hint="eastAsia" w:ascii="仿宋_GB2312" w:hAnsi="仿宋" w:eastAsia="仿宋_GB2312"/>
          <w:b/>
          <w:sz w:val="32"/>
          <w:szCs w:val="32"/>
        </w:rPr>
        <w:t>第十三条</w:t>
      </w:r>
      <w:r>
        <w:rPr>
          <w:rFonts w:hint="eastAsia" w:ascii="仿宋_GB2312" w:hAnsi="仿宋" w:eastAsia="仿宋_GB2312"/>
          <w:sz w:val="32"/>
          <w:szCs w:val="32"/>
        </w:rPr>
        <w:t xml:space="preserve"> 电力市场运营机构应当严格按照市场规则组织各类交易，不得出现下列情形：</w:t>
      </w:r>
    </w:p>
    <w:p>
      <w:pPr>
        <w:ind w:firstLine="645"/>
        <w:rPr>
          <w:rFonts w:hint="eastAsia" w:ascii="仿宋_GB2312" w:hAnsi="仿宋" w:eastAsia="仿宋_GB2312"/>
          <w:sz w:val="32"/>
          <w:szCs w:val="32"/>
        </w:rPr>
      </w:pPr>
      <w:r>
        <w:rPr>
          <w:rFonts w:hint="eastAsia" w:ascii="仿宋_GB2312" w:hAnsi="仿宋" w:eastAsia="仿宋_GB2312"/>
          <w:sz w:val="32"/>
          <w:szCs w:val="32"/>
        </w:rPr>
        <w:t>（一）未按规则要求发布交易日历并组织交易；</w:t>
      </w:r>
    </w:p>
    <w:p>
      <w:pPr>
        <w:ind w:firstLine="645"/>
        <w:rPr>
          <w:rFonts w:hint="eastAsia" w:ascii="仿宋_GB2312" w:hAnsi="仿宋" w:eastAsia="仿宋_GB2312"/>
          <w:sz w:val="32"/>
          <w:szCs w:val="32"/>
        </w:rPr>
      </w:pPr>
      <w:r>
        <w:rPr>
          <w:rFonts w:hint="eastAsia" w:ascii="仿宋_GB2312" w:hAnsi="仿宋" w:eastAsia="仿宋_GB2312"/>
          <w:sz w:val="32"/>
          <w:szCs w:val="32"/>
        </w:rPr>
        <w:t>（二）调度机构未按规则要求进行安全校核；</w:t>
      </w:r>
    </w:p>
    <w:p>
      <w:pPr>
        <w:ind w:firstLine="645"/>
        <w:rPr>
          <w:rFonts w:hint="eastAsia" w:ascii="仿宋_GB2312" w:hAnsi="仿宋" w:eastAsia="仿宋_GB2312"/>
          <w:sz w:val="32"/>
          <w:szCs w:val="32"/>
        </w:rPr>
      </w:pPr>
      <w:r>
        <w:rPr>
          <w:rFonts w:hint="eastAsia" w:ascii="仿宋_GB2312" w:hAnsi="仿宋" w:eastAsia="仿宋_GB2312"/>
          <w:sz w:val="32"/>
          <w:szCs w:val="32"/>
        </w:rPr>
        <w:t>（三）未按规则要求形成交易结果；</w:t>
      </w:r>
    </w:p>
    <w:p>
      <w:pPr>
        <w:ind w:firstLine="645"/>
        <w:rPr>
          <w:rFonts w:hint="eastAsia" w:ascii="仿宋_GB2312" w:hAnsi="仿宋" w:eastAsia="仿宋_GB2312"/>
          <w:sz w:val="32"/>
          <w:szCs w:val="32"/>
        </w:rPr>
      </w:pPr>
      <w:r>
        <w:rPr>
          <w:rFonts w:hint="eastAsia" w:ascii="仿宋_GB2312" w:hAnsi="仿宋" w:eastAsia="仿宋_GB2312"/>
          <w:sz w:val="32"/>
          <w:szCs w:val="32"/>
        </w:rPr>
        <w:t>（四）未按规则要求执行交易结果；</w:t>
      </w:r>
    </w:p>
    <w:p>
      <w:pPr>
        <w:ind w:firstLine="645"/>
        <w:rPr>
          <w:rFonts w:hint="eastAsia" w:ascii="仿宋_GB2312" w:hAnsi="仿宋" w:eastAsia="仿宋_GB2312"/>
          <w:sz w:val="32"/>
          <w:szCs w:val="32"/>
        </w:rPr>
      </w:pPr>
      <w:r>
        <w:rPr>
          <w:rFonts w:hint="eastAsia" w:ascii="仿宋_GB2312" w:hAnsi="仿宋" w:eastAsia="仿宋_GB2312"/>
          <w:sz w:val="32"/>
          <w:szCs w:val="32"/>
        </w:rPr>
        <w:t>（五）交易机构未按规则要求出具结算依据；</w:t>
      </w:r>
    </w:p>
    <w:p>
      <w:pPr>
        <w:ind w:firstLine="645"/>
        <w:rPr>
          <w:rFonts w:hint="eastAsia" w:ascii="仿宋_GB2312" w:hAnsi="仿宋" w:eastAsia="仿宋_GB2312"/>
          <w:sz w:val="32"/>
          <w:szCs w:val="32"/>
        </w:rPr>
      </w:pPr>
      <w:r>
        <w:rPr>
          <w:rFonts w:hint="eastAsia" w:ascii="仿宋_GB2312" w:hAnsi="仿宋" w:eastAsia="仿宋_GB2312"/>
          <w:sz w:val="32"/>
          <w:szCs w:val="32"/>
        </w:rPr>
        <w:t>（六）未按规则要求披露信息；</w:t>
      </w:r>
    </w:p>
    <w:p>
      <w:pPr>
        <w:ind w:firstLine="645"/>
        <w:rPr>
          <w:rFonts w:ascii="仿宋_GB2312" w:hAnsi="仿宋" w:eastAsia="仿宋_GB2312"/>
          <w:sz w:val="32"/>
          <w:szCs w:val="32"/>
        </w:rPr>
      </w:pPr>
      <w:r>
        <w:rPr>
          <w:rFonts w:hint="eastAsia" w:ascii="仿宋_GB2312" w:hAnsi="仿宋" w:eastAsia="仿宋_GB2312"/>
          <w:sz w:val="32"/>
          <w:szCs w:val="32"/>
        </w:rPr>
        <w:t>（七）其他违反电力监管法规、规章、规则的情形。</w:t>
      </w:r>
    </w:p>
    <w:p>
      <w:pPr>
        <w:ind w:firstLine="645"/>
        <w:rPr>
          <w:rFonts w:hint="eastAsia" w:ascii="仿宋_GB2312" w:hAnsi="仿宋" w:eastAsia="仿宋_GB2312"/>
          <w:sz w:val="32"/>
          <w:szCs w:val="32"/>
        </w:rPr>
      </w:pPr>
      <w:r>
        <w:rPr>
          <w:rFonts w:hint="eastAsia" w:ascii="仿宋_GB2312" w:hAnsi="仿宋" w:eastAsia="仿宋_GB2312"/>
          <w:b/>
          <w:sz w:val="32"/>
          <w:szCs w:val="32"/>
        </w:rPr>
        <w:t>第十四条</w:t>
      </w:r>
      <w:r>
        <w:rPr>
          <w:rFonts w:hint="eastAsia" w:ascii="仿宋_GB2312" w:hAnsi="仿宋" w:eastAsia="仿宋_GB2312"/>
          <w:sz w:val="32"/>
          <w:szCs w:val="32"/>
        </w:rPr>
        <w:t xml:space="preserve"> 电网企业应当严格按照市场规则和相关规定，规范开展电费结算及清算、平衡资金管理和资金使用等工作。各类结算项目均需独立记录、分类明确疏导并详细列支，实现结算全链条数据可追溯。定期组织结算、清算业务自查，按月报送经营主体结算情况、新能源机制电价政策执行情况、发用两侧不平衡偏差资金等结算及清算相关数据，结算异常情况及时如实报送。不得出现下列情形：</w:t>
      </w:r>
    </w:p>
    <w:p>
      <w:pPr>
        <w:ind w:firstLine="645"/>
        <w:rPr>
          <w:rFonts w:hint="eastAsia" w:ascii="仿宋_GB2312" w:hAnsi="仿宋" w:eastAsia="仿宋_GB2312"/>
          <w:sz w:val="32"/>
          <w:szCs w:val="32"/>
        </w:rPr>
      </w:pPr>
      <w:r>
        <w:rPr>
          <w:rFonts w:hint="eastAsia" w:ascii="仿宋_GB2312" w:hAnsi="仿宋" w:eastAsia="仿宋_GB2312"/>
          <w:sz w:val="32"/>
          <w:szCs w:val="32"/>
        </w:rPr>
        <w:t>（一）未按规则要求开展电费结算；</w:t>
      </w:r>
    </w:p>
    <w:p>
      <w:pPr>
        <w:ind w:firstLine="645"/>
        <w:rPr>
          <w:rFonts w:hint="eastAsia" w:ascii="仿宋_GB2312" w:hAnsi="仿宋" w:eastAsia="仿宋_GB2312"/>
          <w:sz w:val="32"/>
          <w:szCs w:val="32"/>
        </w:rPr>
      </w:pPr>
      <w:r>
        <w:rPr>
          <w:rFonts w:hint="eastAsia" w:ascii="仿宋_GB2312" w:hAnsi="仿宋" w:eastAsia="仿宋_GB2312"/>
          <w:sz w:val="32"/>
          <w:szCs w:val="32"/>
        </w:rPr>
        <w:t>（二）未按规则要求按期出具电费账单；</w:t>
      </w:r>
    </w:p>
    <w:p>
      <w:pPr>
        <w:ind w:firstLine="645"/>
        <w:rPr>
          <w:rFonts w:hint="eastAsia" w:ascii="仿宋_GB2312" w:hAnsi="仿宋" w:eastAsia="仿宋_GB2312"/>
          <w:sz w:val="32"/>
          <w:szCs w:val="32"/>
        </w:rPr>
      </w:pPr>
      <w:r>
        <w:rPr>
          <w:rFonts w:hint="eastAsia" w:ascii="仿宋_GB2312" w:hAnsi="仿宋" w:eastAsia="仿宋_GB2312"/>
          <w:sz w:val="32"/>
          <w:szCs w:val="32"/>
        </w:rPr>
        <w:t>（三）未按规则要求及时足额完成电费收付；</w:t>
      </w:r>
    </w:p>
    <w:p>
      <w:pPr>
        <w:ind w:firstLine="645"/>
        <w:rPr>
          <w:rFonts w:hint="eastAsia" w:ascii="仿宋_GB2312" w:hAnsi="仿宋" w:eastAsia="仿宋_GB2312"/>
          <w:sz w:val="32"/>
          <w:szCs w:val="32"/>
        </w:rPr>
      </w:pPr>
      <w:r>
        <w:rPr>
          <w:rFonts w:hint="eastAsia" w:ascii="仿宋_GB2312" w:hAnsi="仿宋" w:eastAsia="仿宋_GB2312"/>
          <w:sz w:val="32"/>
          <w:szCs w:val="32"/>
        </w:rPr>
        <w:t>（四）未按规定明确相关结算项目和疏导方式；</w:t>
      </w:r>
    </w:p>
    <w:p>
      <w:pPr>
        <w:ind w:firstLine="645"/>
        <w:rPr>
          <w:rFonts w:hint="eastAsia" w:ascii="仿宋_GB2312" w:hAnsi="仿宋" w:eastAsia="仿宋_GB2312"/>
          <w:sz w:val="32"/>
          <w:szCs w:val="32"/>
        </w:rPr>
      </w:pPr>
      <w:r>
        <w:rPr>
          <w:rFonts w:hint="eastAsia" w:ascii="仿宋_GB2312" w:hAnsi="仿宋" w:eastAsia="仿宋_GB2312"/>
          <w:sz w:val="32"/>
          <w:szCs w:val="32"/>
        </w:rPr>
        <w:t>（五）未按规则要求开展电费追退补与清算；</w:t>
      </w:r>
    </w:p>
    <w:p>
      <w:pPr>
        <w:ind w:firstLine="645"/>
        <w:rPr>
          <w:rFonts w:hint="eastAsia" w:ascii="仿宋_GB2312" w:hAnsi="仿宋" w:eastAsia="仿宋_GB2312"/>
          <w:sz w:val="32"/>
          <w:szCs w:val="32"/>
        </w:rPr>
      </w:pPr>
      <w:r>
        <w:rPr>
          <w:rFonts w:hint="eastAsia" w:ascii="仿宋_GB2312" w:hAnsi="仿宋" w:eastAsia="仿宋_GB2312"/>
          <w:sz w:val="32"/>
          <w:szCs w:val="32"/>
        </w:rPr>
        <w:t>（六）未按规定要求报送和披露信息；</w:t>
      </w:r>
    </w:p>
    <w:p>
      <w:pPr>
        <w:ind w:firstLine="645"/>
        <w:rPr>
          <w:rFonts w:hint="eastAsia" w:ascii="仿宋_GB2312" w:hAnsi="仿宋" w:eastAsia="仿宋_GB2312"/>
          <w:sz w:val="32"/>
          <w:szCs w:val="32"/>
        </w:rPr>
      </w:pPr>
      <w:r>
        <w:rPr>
          <w:rFonts w:hint="eastAsia" w:ascii="仿宋_GB2312" w:hAnsi="仿宋" w:eastAsia="仿宋_GB2312"/>
          <w:sz w:val="32"/>
          <w:szCs w:val="32"/>
        </w:rPr>
        <w:t>（七）其他违反电力监管法规、规章、规则的情形。</w:t>
      </w:r>
    </w:p>
    <w:p>
      <w:pPr>
        <w:ind w:firstLine="645"/>
        <w:rPr>
          <w:rFonts w:hint="eastAsia" w:ascii="仿宋_GB2312" w:hAnsi="仿宋" w:eastAsia="仿宋_GB2312"/>
          <w:sz w:val="32"/>
          <w:szCs w:val="32"/>
        </w:rPr>
      </w:pPr>
      <w:r>
        <w:rPr>
          <w:rFonts w:hint="eastAsia" w:ascii="仿宋_GB2312" w:hAnsi="仿宋" w:eastAsia="仿宋_GB2312"/>
          <w:b/>
          <w:sz w:val="32"/>
          <w:szCs w:val="32"/>
        </w:rPr>
        <w:t>第十五条</w:t>
      </w:r>
      <w:r>
        <w:rPr>
          <w:rFonts w:hint="eastAsia" w:ascii="仿宋_GB2312" w:hAnsi="仿宋" w:eastAsia="仿宋_GB2312"/>
          <w:sz w:val="32"/>
          <w:szCs w:val="32"/>
        </w:rPr>
        <w:t xml:space="preserve"> 电力交易机构应当规范管理经备案的电力交易合同（含承诺书），对经营主体合同进行汇总分析，包括但不限于：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（一）批发合同电量符合市场规则上限规定的情况；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（二）批发合同形成过程符合交易公告的情况；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（三）每月对市场申报合同量价、关联交易等进行汇总，分析市场竞争状况，对是否存在市场串通报价、不正当竞争、行使市场操纵力等进行评估分析，提出意见建议；</w:t>
      </w:r>
    </w:p>
    <w:p>
      <w:pPr>
        <w:ind w:firstLine="645"/>
        <w:rPr>
          <w:rFonts w:hint="eastAsia" w:ascii="仿宋_GB2312" w:hAnsi="仿宋" w:eastAsia="仿宋_GB2312"/>
          <w:sz w:val="32"/>
          <w:szCs w:val="32"/>
        </w:rPr>
      </w:pPr>
      <w:r>
        <w:rPr>
          <w:rFonts w:hint="eastAsia" w:ascii="仿宋_GB2312" w:hAnsi="仿宋" w:eastAsia="仿宋_GB2312"/>
          <w:sz w:val="32"/>
          <w:szCs w:val="32"/>
        </w:rPr>
        <w:t>（四）每月统计批发合同签订情况，对于进入市场后无故退出市场交易的电力用户、售电公司等经营主体，应予提醒,并告知相关政策措施；</w:t>
      </w:r>
    </w:p>
    <w:p>
      <w:pPr>
        <w:ind w:firstLine="645"/>
        <w:rPr>
          <w:rFonts w:hint="eastAsia" w:ascii="仿宋_GB2312" w:hAnsi="仿宋" w:eastAsia="仿宋_GB2312"/>
          <w:sz w:val="32"/>
          <w:szCs w:val="32"/>
        </w:rPr>
      </w:pPr>
      <w:r>
        <w:rPr>
          <w:rFonts w:hint="eastAsia" w:ascii="仿宋_GB2312" w:hAnsi="仿宋" w:eastAsia="仿宋_GB2312"/>
          <w:sz w:val="32"/>
          <w:szCs w:val="32"/>
        </w:rPr>
        <w:t>（五）是否按照示范合同文本签订合同，对未按示范合同文本签订合同的经营主体予以提醒；</w:t>
      </w:r>
    </w:p>
    <w:p>
      <w:pPr>
        <w:ind w:firstLine="645"/>
        <w:rPr>
          <w:rFonts w:hint="eastAsia" w:ascii="仿宋_GB2312" w:hAnsi="仿宋" w:eastAsia="仿宋_GB2312"/>
          <w:sz w:val="32"/>
          <w:szCs w:val="32"/>
        </w:rPr>
      </w:pPr>
      <w:r>
        <w:rPr>
          <w:rFonts w:hint="eastAsia" w:ascii="仿宋_GB2312" w:hAnsi="仿宋" w:eastAsia="仿宋_GB2312"/>
          <w:sz w:val="32"/>
          <w:szCs w:val="32"/>
        </w:rPr>
        <w:t>（六）需要汇总分析的其他内容。</w:t>
      </w:r>
    </w:p>
    <w:p>
      <w:pPr>
        <w:ind w:firstLine="645"/>
        <w:rPr>
          <w:rFonts w:hint="eastAsia" w:ascii="仿宋_GB2312" w:hAnsi="仿宋" w:eastAsia="仿宋_GB2312"/>
          <w:sz w:val="32"/>
          <w:szCs w:val="32"/>
        </w:rPr>
      </w:pPr>
      <w:r>
        <w:rPr>
          <w:rFonts w:hint="eastAsia" w:ascii="仿宋_GB2312" w:hAnsi="仿宋" w:eastAsia="仿宋_GB2312"/>
          <w:sz w:val="32"/>
          <w:szCs w:val="32"/>
        </w:rPr>
        <w:t>汇总分析发现相关异常或存在争议情况的，应当及时将相关情况报告浙江能源监管办。</w:t>
      </w:r>
    </w:p>
    <w:p>
      <w:pPr>
        <w:ind w:firstLine="645"/>
        <w:rPr>
          <w:rFonts w:hint="eastAsia" w:ascii="仿宋_GB2312" w:hAnsi="仿宋" w:eastAsia="仿宋_GB2312"/>
          <w:sz w:val="32"/>
          <w:szCs w:val="32"/>
        </w:rPr>
      </w:pPr>
      <w:r>
        <w:rPr>
          <w:rFonts w:hint="eastAsia" w:ascii="仿宋_GB2312" w:hAnsi="仿宋" w:eastAsia="仿宋_GB2312"/>
          <w:b/>
          <w:sz w:val="32"/>
          <w:szCs w:val="32"/>
        </w:rPr>
        <w:t>第十六条</w:t>
      </w:r>
      <w:r>
        <w:rPr>
          <w:rFonts w:hint="eastAsia" w:ascii="仿宋_GB2312" w:hAnsi="仿宋" w:eastAsia="仿宋_GB2312"/>
          <w:sz w:val="32"/>
          <w:szCs w:val="32"/>
        </w:rPr>
        <w:t xml:space="preserve"> 电力调度机构应当按照现货市场运营规则等规定，在交易开展前明确安全校核的原则和方法，安全校核相关的参数和边界条件等信息，由电力交易机构予以公布。</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七</w:t>
      </w:r>
      <w:r>
        <w:rPr>
          <w:rFonts w:hint="eastAsia" w:ascii="仿宋_GB2312" w:hAnsi="仿宋" w:eastAsia="仿宋_GB2312"/>
          <w:b/>
          <w:sz w:val="32"/>
          <w:szCs w:val="32"/>
        </w:rPr>
        <w:t>条</w:t>
      </w:r>
      <w:r>
        <w:rPr>
          <w:rFonts w:hint="eastAsia" w:ascii="仿宋_GB2312" w:hAnsi="仿宋" w:eastAsia="仿宋_GB2312"/>
          <w:b/>
          <w:sz w:val="32"/>
          <w:szCs w:val="32"/>
          <w:lang w:val="en-US" w:eastAsia="zh-CN"/>
        </w:rPr>
        <w:t xml:space="preserve"> </w:t>
      </w:r>
      <w:r>
        <w:rPr>
          <w:rFonts w:hint="eastAsia" w:ascii="仿宋_GB2312" w:hAnsi="仿宋" w:eastAsia="仿宋_GB2312"/>
          <w:sz w:val="32"/>
          <w:szCs w:val="32"/>
        </w:rPr>
        <w:t>电力交易机构以月度为周期向浙江能源监管办报送电力交易相关分析报告，包括但不限于：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（一）经营主体注册基本信息及变更情况，发电机组装机容量及所属发电集团，发电企业、售电公司股权结构情况；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（二）年度、季度、月度等中长期交易及现货交易成交情况、电网企业代理购电情况，包括但不限于：各类交易品种的交易电量、成交电价、最高最低价、交易校核及相关电量调整等情况；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（三）年度、季度、月度等中长期交易及现货交易结算情况，辅助服务市场申报、结算情况；</w:t>
      </w:r>
    </w:p>
    <w:p>
      <w:pPr>
        <w:ind w:firstLine="645"/>
        <w:rPr>
          <w:rFonts w:hint="eastAsia" w:ascii="仿宋_GB2312" w:hAnsi="仿宋" w:eastAsia="仿宋_GB2312"/>
          <w:sz w:val="32"/>
          <w:szCs w:val="32"/>
        </w:rPr>
      </w:pPr>
      <w:r>
        <w:rPr>
          <w:rFonts w:hint="eastAsia" w:ascii="仿宋_GB2312" w:hAnsi="仿宋" w:eastAsia="仿宋_GB2312"/>
          <w:sz w:val="32"/>
          <w:szCs w:val="32"/>
        </w:rPr>
        <w:t xml:space="preserve">（四）平衡资金管理和资金使用的情况； </w:t>
      </w:r>
    </w:p>
    <w:p>
      <w:pPr>
        <w:ind w:firstLine="645"/>
        <w:rPr>
          <w:rFonts w:hint="eastAsia" w:ascii="仿宋_GB2312" w:hAnsi="仿宋" w:eastAsia="仿宋_GB2312"/>
          <w:sz w:val="32"/>
          <w:szCs w:val="32"/>
        </w:rPr>
      </w:pPr>
      <w:r>
        <w:rPr>
          <w:rFonts w:hint="eastAsia" w:ascii="仿宋_GB2312" w:hAnsi="仿宋" w:eastAsia="仿宋_GB2312"/>
          <w:sz w:val="32"/>
          <w:szCs w:val="32"/>
        </w:rPr>
        <w:t>（五）按授权临时干预市场运营情况、临时增加的事中或事后信息披露情况、市场异常分析及监控情况；</w:t>
      </w:r>
    </w:p>
    <w:p>
      <w:pPr>
        <w:ind w:firstLine="645"/>
        <w:rPr>
          <w:rFonts w:hint="eastAsia" w:ascii="仿宋_GB2312" w:hAnsi="仿宋" w:eastAsia="仿宋_GB2312"/>
          <w:sz w:val="32"/>
          <w:szCs w:val="32"/>
        </w:rPr>
      </w:pPr>
      <w:r>
        <w:rPr>
          <w:rFonts w:hint="eastAsia" w:ascii="仿宋_GB2312" w:hAnsi="仿宋" w:eastAsia="仿宋_GB2312"/>
          <w:sz w:val="32"/>
          <w:szCs w:val="32"/>
        </w:rPr>
        <w:t>（六）履约额度以及经营主体失信行为情况、经营主体信用评价开展及信用等级调整情况；</w:t>
      </w:r>
    </w:p>
    <w:p>
      <w:pPr>
        <w:ind w:firstLine="645"/>
        <w:rPr>
          <w:rFonts w:hint="eastAsia" w:ascii="仿宋_GB2312" w:hAnsi="仿宋" w:eastAsia="仿宋_GB2312"/>
          <w:sz w:val="32"/>
          <w:szCs w:val="32"/>
        </w:rPr>
      </w:pPr>
      <w:r>
        <w:rPr>
          <w:rFonts w:hint="eastAsia" w:ascii="仿宋_GB2312" w:hAnsi="仿宋" w:eastAsia="仿宋_GB2312"/>
          <w:sz w:val="32"/>
          <w:szCs w:val="32"/>
        </w:rPr>
        <w:t>（七）浙江能源监管办要求报送的其他信息。</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八</w:t>
      </w:r>
      <w:r>
        <w:rPr>
          <w:rFonts w:hint="eastAsia" w:ascii="仿宋_GB2312" w:hAnsi="仿宋" w:eastAsia="仿宋_GB2312"/>
          <w:b/>
          <w:sz w:val="32"/>
          <w:szCs w:val="32"/>
        </w:rPr>
        <w:t>条</w:t>
      </w:r>
      <w:r>
        <w:rPr>
          <w:rFonts w:hint="eastAsia" w:ascii="仿宋_GB2312" w:hAnsi="仿宋" w:eastAsia="仿宋_GB2312"/>
          <w:sz w:val="32"/>
          <w:szCs w:val="32"/>
        </w:rPr>
        <w:t xml:space="preserve"> 电力交易机构要确保独立规范运行，按规定组织电网企业代理购电交易。因电网企业代理购电对电力市场正常秩序或对其他经营主体利益产生较大影响的，电力交易机构应及时向浙江能源监管办和省发展改革委（能源局）报告。</w:t>
      </w:r>
    </w:p>
    <w:p>
      <w:pPr>
        <w:ind w:firstLine="645"/>
        <w:rPr>
          <w:rFonts w:ascii="仿宋_GB2312" w:hAnsi="仿宋" w:eastAsia="仿宋_GB2312"/>
          <w:sz w:val="32"/>
          <w:szCs w:val="32"/>
        </w:rPr>
      </w:pPr>
      <w:r>
        <w:rPr>
          <w:rFonts w:hint="eastAsia" w:ascii="仿宋_GB2312" w:hAnsi="仿宋" w:eastAsia="仿宋_GB2312"/>
          <w:sz w:val="32"/>
          <w:szCs w:val="32"/>
        </w:rPr>
        <w:t>每月15日前选择次月起直接参与市场交易的电网企业代理购电工商业用户，电力交易机构应当按照市场注册管理制度规定办理注册手续，将有关变更信息于2日内告知电网企业。</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九</w:t>
      </w:r>
      <w:r>
        <w:rPr>
          <w:rFonts w:hint="eastAsia" w:ascii="仿宋_GB2312" w:hAnsi="仿宋" w:eastAsia="仿宋_GB2312"/>
          <w:b/>
          <w:sz w:val="32"/>
          <w:szCs w:val="32"/>
        </w:rPr>
        <w:t>条</w:t>
      </w:r>
      <w:r>
        <w:rPr>
          <w:rFonts w:hint="eastAsia" w:ascii="仿宋_GB2312" w:hAnsi="仿宋" w:eastAsia="仿宋_GB2312"/>
          <w:sz w:val="32"/>
          <w:szCs w:val="32"/>
        </w:rPr>
        <w:t xml:space="preserve"> 电力市场运营机构以月度为周期向浙江能源监管办报送市场运营监控分析报告，主动听取和汇总各类经营主体反映的问题及意见建议，对市场运营情况进行数字化监控和分析，并研提规则修改的意见建议等。</w:t>
      </w:r>
    </w:p>
    <w:p>
      <w:pPr>
        <w:ind w:firstLine="645"/>
        <w:rPr>
          <w:rFonts w:hint="eastAsia" w:ascii="仿宋_GB2312" w:hAnsi="仿宋" w:eastAsia="仿宋_GB2312"/>
          <w:sz w:val="32"/>
          <w:szCs w:val="32"/>
        </w:rPr>
      </w:pPr>
      <w:r>
        <w:rPr>
          <w:rFonts w:hint="eastAsia" w:ascii="仿宋_GB2312" w:hAnsi="仿宋" w:eastAsia="仿宋_GB2312"/>
          <w:sz w:val="32"/>
          <w:szCs w:val="32"/>
        </w:rPr>
        <w:t>如发现以下异常事件的（包括但不限于），电力市场运营机构应在1个工作日内向浙江能源监管办报告：</w:t>
      </w:r>
    </w:p>
    <w:p>
      <w:pPr>
        <w:ind w:firstLine="645"/>
        <w:rPr>
          <w:rFonts w:hint="eastAsia" w:ascii="仿宋_GB2312" w:hAnsi="仿宋" w:eastAsia="仿宋_GB2312"/>
          <w:sz w:val="32"/>
          <w:szCs w:val="32"/>
        </w:rPr>
      </w:pPr>
      <w:r>
        <w:rPr>
          <w:rFonts w:hint="eastAsia" w:ascii="仿宋_GB2312" w:hAnsi="仿宋" w:eastAsia="仿宋_GB2312"/>
          <w:sz w:val="32"/>
          <w:szCs w:val="32"/>
        </w:rPr>
        <w:t>（一）因信息披露、技术支持系统、网络异常等因素影响电力市场正常组织开展或电费正常结算的；</w:t>
      </w:r>
    </w:p>
    <w:p>
      <w:pPr>
        <w:ind w:firstLine="645"/>
        <w:rPr>
          <w:rFonts w:hint="eastAsia" w:ascii="仿宋_GB2312" w:hAnsi="仿宋" w:eastAsia="仿宋_GB2312"/>
          <w:sz w:val="32"/>
          <w:szCs w:val="32"/>
        </w:rPr>
      </w:pPr>
      <w:r>
        <w:rPr>
          <w:rFonts w:hint="eastAsia" w:ascii="仿宋_GB2312" w:hAnsi="仿宋" w:eastAsia="仿宋_GB2312"/>
          <w:sz w:val="32"/>
          <w:szCs w:val="32"/>
        </w:rPr>
        <w:t>（二）不同经营主体存在时间、价格、电量等申报要素一致或趋同的;</w:t>
      </w:r>
    </w:p>
    <w:p>
      <w:pPr>
        <w:ind w:firstLine="645"/>
        <w:rPr>
          <w:rFonts w:hint="eastAsia" w:ascii="仿宋_GB2312" w:hAnsi="仿宋" w:eastAsia="仿宋_GB2312"/>
          <w:sz w:val="32"/>
          <w:szCs w:val="32"/>
        </w:rPr>
      </w:pPr>
      <w:r>
        <w:rPr>
          <w:rFonts w:hint="eastAsia" w:ascii="仿宋_GB2312" w:hAnsi="仿宋" w:eastAsia="仿宋_GB2312"/>
          <w:sz w:val="32"/>
          <w:szCs w:val="32"/>
        </w:rPr>
        <w:t>（三）发电机组以远高于市场同类型或同区域同类型机组边际成本进行申报的；</w:t>
      </w:r>
    </w:p>
    <w:p>
      <w:pPr>
        <w:ind w:firstLine="645"/>
        <w:rPr>
          <w:rFonts w:hint="eastAsia" w:ascii="仿宋_GB2312" w:hAnsi="仿宋" w:eastAsia="仿宋_GB2312"/>
          <w:sz w:val="32"/>
          <w:szCs w:val="32"/>
        </w:rPr>
      </w:pPr>
      <w:r>
        <w:rPr>
          <w:rFonts w:hint="eastAsia" w:ascii="仿宋_GB2312" w:hAnsi="仿宋" w:eastAsia="仿宋_GB2312"/>
          <w:sz w:val="32"/>
          <w:szCs w:val="32"/>
        </w:rPr>
        <w:t>（四）浙江能源监管办要求报送的其他市场异常事件。</w:t>
      </w:r>
    </w:p>
    <w:p>
      <w:pPr>
        <w:ind w:firstLine="645"/>
        <w:rPr>
          <w:rFonts w:hint="eastAsia"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w:t>
      </w:r>
      <w:r>
        <w:rPr>
          <w:rFonts w:hint="eastAsia" w:ascii="仿宋_GB2312" w:hAnsi="仿宋" w:eastAsia="仿宋_GB2312"/>
          <w:b/>
          <w:sz w:val="32"/>
          <w:szCs w:val="32"/>
        </w:rPr>
        <w:t>条</w:t>
      </w:r>
      <w:r>
        <w:rPr>
          <w:rFonts w:hint="eastAsia" w:ascii="仿宋_GB2312" w:hAnsi="仿宋" w:eastAsia="仿宋_GB2312"/>
          <w:sz w:val="32"/>
          <w:szCs w:val="32"/>
        </w:rPr>
        <w:t xml:space="preserve"> 电力调度机构应当建立拓扑数据管理制度，规范电力市场出清计算的电网拓扑数据管理，包括但不限于：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（一）明确电力调度机构电网拓扑数据管理的责任和义务；</w:t>
      </w:r>
    </w:p>
    <w:p>
      <w:pPr>
        <w:ind w:firstLine="645"/>
        <w:rPr>
          <w:rFonts w:hint="eastAsia" w:ascii="仿宋_GB2312" w:hAnsi="仿宋" w:eastAsia="仿宋_GB2312"/>
          <w:sz w:val="32"/>
          <w:szCs w:val="32"/>
        </w:rPr>
      </w:pPr>
      <w:r>
        <w:rPr>
          <w:rFonts w:hint="eastAsia" w:ascii="仿宋_GB2312" w:hAnsi="仿宋" w:eastAsia="仿宋_GB2312"/>
          <w:sz w:val="32"/>
          <w:szCs w:val="32"/>
        </w:rPr>
        <w:t>（二）明确调度管理对象（发电企业、配电网运营企业、新型经营主体等）责任范围内相关设备的拓扑数据管理的责任和义务；</w:t>
      </w:r>
    </w:p>
    <w:p>
      <w:pPr>
        <w:ind w:firstLine="645"/>
        <w:rPr>
          <w:rFonts w:hint="eastAsia" w:ascii="仿宋_GB2312" w:hAnsi="仿宋" w:eastAsia="仿宋_GB2312"/>
          <w:sz w:val="32"/>
          <w:szCs w:val="32"/>
        </w:rPr>
      </w:pPr>
      <w:r>
        <w:rPr>
          <w:rFonts w:hint="eastAsia" w:ascii="仿宋_GB2312" w:hAnsi="仿宋" w:eastAsia="仿宋_GB2312"/>
          <w:sz w:val="32"/>
          <w:szCs w:val="32"/>
        </w:rPr>
        <w:t>（三）明确发输变电设施及其参数确认或变更的管理流程、具体要求和时限等。</w:t>
      </w:r>
    </w:p>
    <w:p>
      <w:pPr>
        <w:ind w:firstLine="645"/>
        <w:rPr>
          <w:rFonts w:hint="eastAsia"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二十一</w:t>
      </w:r>
      <w:r>
        <w:rPr>
          <w:rFonts w:hint="eastAsia" w:ascii="仿宋_GB2312" w:hAnsi="仿宋" w:eastAsia="仿宋_GB2312"/>
          <w:b/>
          <w:sz w:val="32"/>
          <w:szCs w:val="32"/>
        </w:rPr>
        <w:t>条</w:t>
      </w:r>
      <w:r>
        <w:rPr>
          <w:rFonts w:hint="eastAsia" w:ascii="仿宋_GB2312" w:hAnsi="仿宋" w:eastAsia="仿宋_GB2312"/>
          <w:sz w:val="32"/>
          <w:szCs w:val="32"/>
        </w:rPr>
        <w:t xml:space="preserve"> 电力调度机构应当规范发输变电设施调度管理，对以下情形按日记录并按月汇总分析：</w:t>
      </w:r>
    </w:p>
    <w:p>
      <w:pPr>
        <w:ind w:firstLine="645"/>
        <w:rPr>
          <w:rFonts w:hint="eastAsia" w:ascii="仿宋_GB2312" w:hAnsi="仿宋" w:eastAsia="仿宋_GB2312"/>
          <w:sz w:val="32"/>
          <w:szCs w:val="32"/>
        </w:rPr>
      </w:pPr>
      <w:r>
        <w:rPr>
          <w:rFonts w:hint="eastAsia" w:ascii="仿宋_GB2312" w:hAnsi="仿宋" w:eastAsia="仿宋_GB2312"/>
          <w:sz w:val="32"/>
          <w:szCs w:val="32"/>
        </w:rPr>
        <w:t>（一）电力市场出清计算电网拓扑涉及的发输变电设施状态与日前调度计划不一致的；</w:t>
      </w:r>
    </w:p>
    <w:p>
      <w:pPr>
        <w:ind w:firstLine="645"/>
        <w:rPr>
          <w:rFonts w:hint="eastAsia" w:ascii="仿宋_GB2312" w:hAnsi="仿宋" w:eastAsia="仿宋_GB2312"/>
          <w:sz w:val="32"/>
          <w:szCs w:val="32"/>
        </w:rPr>
      </w:pPr>
      <w:r>
        <w:rPr>
          <w:rFonts w:hint="eastAsia" w:ascii="仿宋_GB2312" w:hAnsi="仿宋" w:eastAsia="仿宋_GB2312"/>
          <w:sz w:val="32"/>
          <w:szCs w:val="32"/>
        </w:rPr>
        <w:t>（二）发电机组实际并网调试安排与日前调度计划不一致的；</w:t>
      </w:r>
    </w:p>
    <w:p>
      <w:pPr>
        <w:ind w:firstLine="645"/>
        <w:rPr>
          <w:rFonts w:hint="eastAsia" w:ascii="仿宋_GB2312" w:hAnsi="仿宋" w:eastAsia="仿宋_GB2312"/>
          <w:sz w:val="32"/>
          <w:szCs w:val="32"/>
        </w:rPr>
      </w:pPr>
      <w:r>
        <w:rPr>
          <w:rFonts w:hint="eastAsia" w:ascii="仿宋_GB2312" w:hAnsi="仿宋" w:eastAsia="仿宋_GB2312"/>
          <w:sz w:val="32"/>
          <w:szCs w:val="32"/>
        </w:rPr>
        <w:t>（三）发电机组实际状态与日前调度计划不一致的；</w:t>
      </w:r>
    </w:p>
    <w:p>
      <w:pPr>
        <w:ind w:firstLine="645"/>
        <w:rPr>
          <w:rFonts w:hint="eastAsia" w:ascii="仿宋_GB2312" w:hAnsi="仿宋" w:eastAsia="仿宋_GB2312"/>
          <w:sz w:val="32"/>
          <w:szCs w:val="32"/>
        </w:rPr>
      </w:pPr>
      <w:r>
        <w:rPr>
          <w:rFonts w:hint="eastAsia" w:ascii="仿宋_GB2312" w:hAnsi="仿宋" w:eastAsia="仿宋_GB2312"/>
          <w:sz w:val="32"/>
          <w:szCs w:val="32"/>
        </w:rPr>
        <w:t>（四）其他需要记录备查的必要信息。</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二</w:t>
      </w:r>
      <w:r>
        <w:rPr>
          <w:rFonts w:hint="eastAsia" w:ascii="仿宋_GB2312" w:hAnsi="仿宋" w:eastAsia="仿宋_GB2312"/>
          <w:b/>
          <w:sz w:val="32"/>
          <w:szCs w:val="32"/>
        </w:rPr>
        <w:t>条</w:t>
      </w:r>
      <w:r>
        <w:rPr>
          <w:rFonts w:hint="eastAsia" w:ascii="仿宋_GB2312" w:hAnsi="仿宋" w:eastAsia="仿宋_GB2312"/>
          <w:sz w:val="32"/>
          <w:szCs w:val="32"/>
        </w:rPr>
        <w:t xml:space="preserve"> 电力调度机构应当根据国家和行业有关电网运行管理规程、规范和技术标准以及电力调度规程要求，合理安排运行方式，保障电力系统的安全、优质、经济运行，对以下情形按日记录并按月汇总分析：</w:t>
      </w:r>
    </w:p>
    <w:p>
      <w:pPr>
        <w:ind w:firstLine="645"/>
        <w:rPr>
          <w:rFonts w:hint="eastAsia" w:ascii="仿宋_GB2312" w:hAnsi="仿宋" w:eastAsia="仿宋_GB2312"/>
          <w:sz w:val="32"/>
          <w:szCs w:val="32"/>
        </w:rPr>
      </w:pPr>
      <w:r>
        <w:rPr>
          <w:rFonts w:hint="eastAsia" w:ascii="仿宋_GB2312" w:hAnsi="仿宋" w:eastAsia="仿宋_GB2312"/>
          <w:sz w:val="32"/>
          <w:szCs w:val="32"/>
        </w:rPr>
        <w:t>（一）日前系统负荷预测、母线负荷预测情况以及运行日实际情况；</w:t>
      </w:r>
    </w:p>
    <w:p>
      <w:pPr>
        <w:ind w:firstLine="645"/>
        <w:rPr>
          <w:rFonts w:hint="eastAsia" w:ascii="仿宋_GB2312" w:hAnsi="仿宋" w:eastAsia="仿宋_GB2312"/>
          <w:sz w:val="32"/>
          <w:szCs w:val="32"/>
        </w:rPr>
      </w:pPr>
      <w:r>
        <w:rPr>
          <w:rFonts w:hint="eastAsia" w:ascii="仿宋_GB2312" w:hAnsi="仿宋" w:eastAsia="仿宋_GB2312"/>
          <w:sz w:val="32"/>
          <w:szCs w:val="32"/>
        </w:rPr>
        <w:t>（二）日前运行正备用容量、负备用容量、调频容量和爬坡需求安排情况及有关分析；</w:t>
      </w:r>
    </w:p>
    <w:p>
      <w:pPr>
        <w:ind w:firstLine="645"/>
        <w:rPr>
          <w:rFonts w:hint="eastAsia" w:ascii="仿宋_GB2312" w:hAnsi="仿宋" w:eastAsia="仿宋_GB2312"/>
          <w:sz w:val="32"/>
          <w:szCs w:val="32"/>
        </w:rPr>
      </w:pPr>
      <w:r>
        <w:rPr>
          <w:rFonts w:hint="eastAsia" w:ascii="仿宋_GB2312" w:hAnsi="仿宋" w:eastAsia="仿宋_GB2312"/>
          <w:sz w:val="32"/>
          <w:szCs w:val="32"/>
        </w:rPr>
        <w:t>（三）日前重要（关键）断面、预计阻塞断面情况及实际断面阻塞情况；</w:t>
      </w:r>
    </w:p>
    <w:p>
      <w:pPr>
        <w:ind w:firstLine="645"/>
        <w:rPr>
          <w:rFonts w:hint="eastAsia" w:ascii="仿宋_GB2312" w:hAnsi="仿宋" w:eastAsia="仿宋_GB2312"/>
          <w:sz w:val="32"/>
          <w:szCs w:val="32"/>
        </w:rPr>
      </w:pPr>
      <w:r>
        <w:rPr>
          <w:rFonts w:hint="eastAsia" w:ascii="仿宋_GB2312" w:hAnsi="仿宋" w:eastAsia="仿宋_GB2312"/>
          <w:sz w:val="32"/>
          <w:szCs w:val="32"/>
        </w:rPr>
        <w:t>（四）必开（停）机组（群）设置的原因；</w:t>
      </w:r>
    </w:p>
    <w:p>
      <w:pPr>
        <w:ind w:firstLine="645"/>
        <w:rPr>
          <w:rFonts w:hint="eastAsia" w:ascii="仿宋_GB2312" w:hAnsi="仿宋" w:eastAsia="仿宋_GB2312"/>
          <w:sz w:val="32"/>
          <w:szCs w:val="32"/>
        </w:rPr>
      </w:pPr>
      <w:r>
        <w:rPr>
          <w:rFonts w:hint="eastAsia" w:ascii="仿宋_GB2312" w:hAnsi="仿宋" w:eastAsia="仿宋_GB2312"/>
          <w:sz w:val="32"/>
          <w:szCs w:val="32"/>
        </w:rPr>
        <w:t>（五）临时干预及处理情况，包括调用机组调频、调峰及需要修改发电计划等；</w:t>
      </w:r>
    </w:p>
    <w:p>
      <w:pPr>
        <w:ind w:firstLine="645"/>
        <w:rPr>
          <w:rFonts w:hint="eastAsia" w:ascii="仿宋_GB2312" w:hAnsi="仿宋" w:eastAsia="仿宋_GB2312"/>
          <w:sz w:val="32"/>
          <w:szCs w:val="32"/>
        </w:rPr>
      </w:pPr>
      <w:r>
        <w:rPr>
          <w:rFonts w:hint="eastAsia" w:ascii="仿宋_GB2312" w:hAnsi="仿宋" w:eastAsia="仿宋_GB2312"/>
          <w:sz w:val="32"/>
          <w:szCs w:val="32"/>
        </w:rPr>
        <w:t>（六）其他需要记录备查的必要信息。</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三</w:t>
      </w:r>
      <w:r>
        <w:rPr>
          <w:rFonts w:hint="eastAsia" w:ascii="仿宋_GB2312" w:hAnsi="仿宋" w:eastAsia="仿宋_GB2312"/>
          <w:b/>
          <w:sz w:val="32"/>
          <w:szCs w:val="32"/>
        </w:rPr>
        <w:t>条</w:t>
      </w:r>
      <w:r>
        <w:rPr>
          <w:rFonts w:hint="eastAsia" w:ascii="仿宋_GB2312" w:hAnsi="仿宋" w:eastAsia="仿宋_GB2312"/>
          <w:sz w:val="32"/>
          <w:szCs w:val="32"/>
        </w:rPr>
        <w:t xml:space="preserve"> 电力调度机构以月度为周期向浙江能源监管办报送相关调度运行分析，包括但不限于：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（一）电力供需及市场重要边界条件变化情况，重要发输变电设施事前一次停电检修计划安排和实际执行情况，偏差原因分析，月度临时检修情况及原因；</w:t>
      </w:r>
    </w:p>
    <w:p>
      <w:pPr>
        <w:ind w:firstLine="645"/>
        <w:rPr>
          <w:rFonts w:hint="eastAsia" w:ascii="仿宋_GB2312" w:hAnsi="仿宋" w:eastAsia="仿宋_GB2312"/>
          <w:sz w:val="32"/>
          <w:szCs w:val="32"/>
        </w:rPr>
      </w:pPr>
      <w:r>
        <w:rPr>
          <w:rFonts w:hint="eastAsia" w:ascii="仿宋_GB2312" w:hAnsi="仿宋" w:eastAsia="仿宋_GB2312"/>
          <w:sz w:val="32"/>
          <w:szCs w:val="32"/>
        </w:rPr>
        <w:t>（二）重要（关键）断面发输变电设施调试（启动）计划安排和实际执行情况，偏差原因分析；</w:t>
      </w:r>
    </w:p>
    <w:p>
      <w:pPr>
        <w:ind w:firstLine="645"/>
        <w:rPr>
          <w:rFonts w:hint="eastAsia" w:ascii="仿宋_GB2312" w:hAnsi="仿宋" w:eastAsia="仿宋_GB2312"/>
          <w:sz w:val="32"/>
          <w:szCs w:val="32"/>
        </w:rPr>
      </w:pPr>
      <w:r>
        <w:rPr>
          <w:rFonts w:hint="eastAsia" w:ascii="仿宋_GB2312" w:hAnsi="仿宋" w:eastAsia="仿宋_GB2312"/>
          <w:sz w:val="32"/>
          <w:szCs w:val="32"/>
        </w:rPr>
        <w:t>（三）发输变电设施分电压等级和设备类型强迫停运累计条（台）次、占所在类型设施比重以及同比、环比情况；</w:t>
      </w:r>
    </w:p>
    <w:p>
      <w:pPr>
        <w:ind w:firstLine="645"/>
        <w:rPr>
          <w:rFonts w:hint="eastAsia" w:ascii="仿宋_GB2312" w:hAnsi="仿宋" w:eastAsia="仿宋_GB2312"/>
          <w:sz w:val="32"/>
          <w:szCs w:val="32"/>
        </w:rPr>
      </w:pPr>
      <w:r>
        <w:rPr>
          <w:rFonts w:hint="eastAsia" w:ascii="仿宋_GB2312" w:hAnsi="仿宋" w:eastAsia="仿宋_GB2312"/>
          <w:sz w:val="32"/>
          <w:szCs w:val="32"/>
        </w:rPr>
        <w:t>（四）市场机组发电调度计划执行情况、日内机组提前或延迟开机情况（与日前情况比较），实际执行较大偏差的情况及原因分析；</w:t>
      </w:r>
    </w:p>
    <w:p>
      <w:pPr>
        <w:ind w:firstLine="645"/>
        <w:rPr>
          <w:rFonts w:hint="eastAsia" w:ascii="仿宋_GB2312" w:hAnsi="仿宋" w:eastAsia="仿宋_GB2312"/>
          <w:sz w:val="32"/>
          <w:szCs w:val="32"/>
        </w:rPr>
      </w:pPr>
      <w:r>
        <w:rPr>
          <w:rFonts w:hint="eastAsia" w:ascii="仿宋_GB2312" w:hAnsi="仿宋" w:eastAsia="仿宋_GB2312"/>
          <w:sz w:val="32"/>
          <w:szCs w:val="32"/>
        </w:rPr>
        <w:t>（五）日前重要（关键）断面潮流重载情况及对应的实际最大潮流，电网阻塞情况及对各阻塞区域市场价格的影响情况；</w:t>
      </w:r>
    </w:p>
    <w:p>
      <w:pPr>
        <w:ind w:firstLine="645"/>
        <w:rPr>
          <w:rFonts w:hint="eastAsia" w:ascii="仿宋_GB2312" w:hAnsi="仿宋" w:eastAsia="仿宋_GB2312"/>
          <w:sz w:val="32"/>
          <w:szCs w:val="32"/>
        </w:rPr>
      </w:pPr>
      <w:r>
        <w:rPr>
          <w:rFonts w:hint="eastAsia" w:ascii="仿宋_GB2312" w:hAnsi="仿宋" w:eastAsia="仿宋_GB2312"/>
          <w:sz w:val="32"/>
          <w:szCs w:val="32"/>
        </w:rPr>
        <w:t>（六）日前发电调度计划执行情况，必开（停）机组设置及统计分析情况，运行日机组实际开机组合与日前开机组合差异情况（含新启机或停机）；</w:t>
      </w:r>
    </w:p>
    <w:p>
      <w:pPr>
        <w:ind w:firstLine="645"/>
        <w:rPr>
          <w:rFonts w:hint="eastAsia" w:ascii="仿宋_GB2312" w:hAnsi="仿宋" w:eastAsia="仿宋_GB2312"/>
          <w:sz w:val="32"/>
          <w:szCs w:val="32"/>
        </w:rPr>
      </w:pPr>
      <w:r>
        <w:rPr>
          <w:rFonts w:hint="eastAsia" w:ascii="仿宋_GB2312" w:hAnsi="仿宋" w:eastAsia="仿宋_GB2312"/>
          <w:sz w:val="32"/>
          <w:szCs w:val="32"/>
        </w:rPr>
        <w:t>（七）辅助服务市场运行情况以及“两个细则”考核及补偿情况；</w:t>
      </w:r>
    </w:p>
    <w:p>
      <w:pPr>
        <w:ind w:firstLine="645"/>
        <w:rPr>
          <w:rFonts w:hint="eastAsia" w:ascii="仿宋_GB2312" w:hAnsi="仿宋" w:eastAsia="仿宋_GB2312"/>
          <w:sz w:val="32"/>
          <w:szCs w:val="32"/>
        </w:rPr>
      </w:pPr>
      <w:r>
        <w:rPr>
          <w:rFonts w:hint="eastAsia" w:ascii="仿宋_GB2312" w:hAnsi="仿宋" w:eastAsia="仿宋_GB2312"/>
          <w:sz w:val="32"/>
          <w:szCs w:val="32"/>
        </w:rPr>
        <w:t>（八）市场临时干预及处理情况；</w:t>
      </w:r>
    </w:p>
    <w:p>
      <w:pPr>
        <w:ind w:firstLine="645"/>
        <w:rPr>
          <w:rFonts w:hint="eastAsia" w:ascii="仿宋_GB2312" w:hAnsi="仿宋" w:eastAsia="仿宋_GB2312"/>
          <w:sz w:val="32"/>
          <w:szCs w:val="32"/>
        </w:rPr>
      </w:pPr>
      <w:r>
        <w:rPr>
          <w:rFonts w:hint="eastAsia" w:ascii="仿宋_GB2312" w:hAnsi="仿宋" w:eastAsia="仿宋_GB2312"/>
          <w:sz w:val="32"/>
          <w:szCs w:val="32"/>
        </w:rPr>
        <w:t>（九）浙江能源监管办要求的其他信息。</w:t>
      </w:r>
    </w:p>
    <w:p>
      <w:pPr>
        <w:ind w:firstLine="645"/>
        <w:rPr>
          <w:rFonts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四</w:t>
      </w:r>
      <w:r>
        <w:rPr>
          <w:rFonts w:hint="eastAsia" w:ascii="仿宋_GB2312" w:hAnsi="仿宋" w:eastAsia="仿宋_GB2312"/>
          <w:b/>
          <w:sz w:val="32"/>
          <w:szCs w:val="32"/>
        </w:rPr>
        <w:t>条</w:t>
      </w:r>
      <w:r>
        <w:rPr>
          <w:rFonts w:hint="eastAsia" w:ascii="仿宋_GB2312" w:hAnsi="仿宋" w:eastAsia="仿宋_GB2312"/>
          <w:sz w:val="32"/>
          <w:szCs w:val="32"/>
        </w:rPr>
        <w:t xml:space="preserve"> 电力调度机构应建立健全应急调度制度，明确应急调度启动的边界条件和具体标准，并向电力市场成员公开。在电力系统出现保安全、保供应需求时，应优先通过中长期、现货交易市场化方式调整。在市场化手段用尽后仍存在调整需求时，规范及时启动应急调度，做好原因和实施情况的记录。及时披露详细原因、实施启动终止时间、交易过程及结果等信息，并在应急调度启动后2小时内向浙江能源监管办书面报告事情经过、信息披露等情况。</w:t>
      </w:r>
    </w:p>
    <w:p>
      <w:pPr>
        <w:ind w:firstLine="645"/>
        <w:rPr>
          <w:rFonts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五</w:t>
      </w:r>
      <w:r>
        <w:rPr>
          <w:rFonts w:hint="eastAsia" w:ascii="仿宋_GB2312" w:hAnsi="仿宋" w:eastAsia="仿宋_GB2312"/>
          <w:b/>
          <w:sz w:val="32"/>
          <w:szCs w:val="32"/>
        </w:rPr>
        <w:t>条</w:t>
      </w:r>
      <w:r>
        <w:rPr>
          <w:rFonts w:hint="eastAsia" w:ascii="仿宋_GB2312" w:hAnsi="仿宋" w:eastAsia="仿宋_GB2312"/>
          <w:sz w:val="32"/>
          <w:szCs w:val="32"/>
        </w:rPr>
        <w:t xml:space="preserve"> 电力交易机构在市场实施细则酝酿起草阶段，应将细则的主要内容背景、必要性、影响等报告浙江能源监管办和省发展改革委（能源局）。电力交易机构应当在基本规则框架下起草市场实施细则，并由浙江电力市场管理委员会进行初步审议，经浙江能源监管办和省发展改革委（能源局）审定后执行，审定单位可以对审议结果行使否决权。交易细则批准实施后，电力交易机构无权变更；需要修订的，提请市场管理委员会审议后，报原审定机构和部门批准。交易细则印发、公布后，应同步报送浙江能源监管办。</w:t>
      </w:r>
    </w:p>
    <w:p>
      <w:pPr>
        <w:ind w:firstLine="645"/>
        <w:rPr>
          <w:rFonts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条</w:t>
      </w:r>
      <w:r>
        <w:rPr>
          <w:rFonts w:hint="eastAsia" w:ascii="仿宋_GB2312" w:hAnsi="仿宋" w:eastAsia="仿宋_GB2312"/>
          <w:sz w:val="32"/>
          <w:szCs w:val="32"/>
        </w:rPr>
        <w:t xml:space="preserve"> 承担浙江电力市场管理委员会秘书处职能的交易机构，应当接受浙江能源监管办指导，开展浙江电力市场管理委员会自律监督工作机制建立与完善的有关工作。在浙江电力市场管理委员会主任委员选举前，应按照规定向浙江能源监管办和省发展改革委（能源局）提交具备担任主任委员资格的人员（单位）主要情况，担任主任委员意愿情况等。浙江能源监管办和省发展改革委（能源局）负责提名浙江电力市场管理委员会主任委员，浙江电力市场管理委员会投票表决，同一主任委员不得连任超过两届任期。</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七</w:t>
      </w:r>
      <w:r>
        <w:rPr>
          <w:rFonts w:hint="eastAsia" w:ascii="仿宋_GB2312" w:hAnsi="仿宋" w:eastAsia="仿宋_GB2312"/>
          <w:b/>
          <w:sz w:val="32"/>
          <w:szCs w:val="32"/>
        </w:rPr>
        <w:t>条</w:t>
      </w:r>
      <w:r>
        <w:rPr>
          <w:rFonts w:hint="eastAsia" w:ascii="仿宋_GB2312" w:hAnsi="仿宋" w:eastAsia="仿宋_GB2312"/>
          <w:sz w:val="32"/>
          <w:szCs w:val="32"/>
        </w:rPr>
        <w:t xml:space="preserve"> 电力市场运营机构应当按照《电力市场运行基本规则》《电力企业信息披露规定》《电力市场信息披露基本规则》及相关实施细则等要求，按时全面准确披露信息。</w:t>
      </w:r>
    </w:p>
    <w:p>
      <w:pPr>
        <w:ind w:firstLine="645"/>
        <w:rPr>
          <w:rFonts w:hint="eastAsia" w:ascii="仿宋_GB2312" w:hAnsi="仿宋" w:eastAsia="仿宋_GB2312"/>
          <w:sz w:val="32"/>
          <w:szCs w:val="32"/>
        </w:rPr>
      </w:pPr>
      <w:r>
        <w:rPr>
          <w:rFonts w:hint="eastAsia" w:ascii="仿宋_GB2312" w:hAnsi="仿宋" w:eastAsia="仿宋_GB2312"/>
          <w:sz w:val="32"/>
          <w:szCs w:val="32"/>
        </w:rPr>
        <w:t>电力市场运营机构应当健全对经营主体披露信息的监控、统计和分析制度，定期开展统计和关联性分析，发现存在异常或者各类披露信息存在不一致的，应予以记录并报告浙江能源监管办。</w:t>
      </w:r>
    </w:p>
    <w:p>
      <w:pPr>
        <w:ind w:firstLine="645"/>
        <w:rPr>
          <w:rFonts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二十八</w:t>
      </w:r>
      <w:r>
        <w:rPr>
          <w:rFonts w:hint="eastAsia" w:ascii="仿宋_GB2312" w:hAnsi="仿宋" w:eastAsia="仿宋_GB2312"/>
          <w:b/>
          <w:sz w:val="32"/>
          <w:szCs w:val="32"/>
        </w:rPr>
        <w:t>条</w:t>
      </w:r>
      <w:r>
        <w:rPr>
          <w:rFonts w:hint="eastAsia" w:ascii="仿宋_GB2312" w:hAnsi="仿宋" w:eastAsia="仿宋_GB2312"/>
          <w:sz w:val="32"/>
          <w:szCs w:val="32"/>
        </w:rPr>
        <w:t xml:space="preserve"> 电网企业、电力市场运营机构应当按照可再生能源消费最低比重目标和可再生能源电力消纳责任权重有关管理制度要求，认真做好可再生能源电力并网消纳、跨省跨区输送和市场交易，并按季度向浙江能源监管办报送相关情况。电力交易机构按规定开展消纳量账户设立、消纳量核算及转让（或交易）、监测统计工作，并按月向浙江能源监管办报送相关情况。</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第二十九条 </w:t>
      </w:r>
      <w:r>
        <w:rPr>
          <w:rFonts w:hint="eastAsia" w:ascii="仿宋_GB2312" w:hAnsi="仿宋" w:eastAsia="仿宋_GB2312"/>
          <w:sz w:val="32"/>
          <w:szCs w:val="32"/>
        </w:rPr>
        <w:t>浙江能源监管办对经营主体未按照规定办理电力市场注册手续、提供虚假注册资料、行使市场操纵力、不正当竞争、串通报价等失信行为通报的，电力交易机构应配合在电力市场交易平台公开，并纳入经营主体信用评价。</w:t>
      </w:r>
    </w:p>
    <w:p>
      <w:pPr>
        <w:jc w:val="center"/>
        <w:rPr>
          <w:rFonts w:hint="eastAsia" w:asciiTheme="minorEastAsia" w:hAnsiTheme="minorEastAsia"/>
          <w:sz w:val="32"/>
          <w:szCs w:val="32"/>
        </w:rPr>
      </w:pPr>
      <w:r>
        <w:rPr>
          <w:rFonts w:hint="eastAsia" w:asciiTheme="minorEastAsia" w:hAnsiTheme="minorEastAsia"/>
          <w:sz w:val="32"/>
          <w:szCs w:val="32"/>
        </w:rPr>
        <w:t>第</w:t>
      </w:r>
      <w:r>
        <w:rPr>
          <w:rFonts w:hint="eastAsia" w:asciiTheme="minorEastAsia" w:hAnsiTheme="minorEastAsia"/>
          <w:sz w:val="32"/>
          <w:szCs w:val="32"/>
          <w:lang w:val="en-US" w:eastAsia="zh-CN"/>
        </w:rPr>
        <w:t>三</w:t>
      </w:r>
      <w:r>
        <w:rPr>
          <w:rFonts w:hint="eastAsia" w:asciiTheme="minorEastAsia" w:hAnsiTheme="minorEastAsia"/>
          <w:sz w:val="32"/>
          <w:szCs w:val="32"/>
        </w:rPr>
        <w:t>章 技术支持系统监管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第三十条</w:t>
      </w:r>
      <w:r>
        <w:rPr>
          <w:rFonts w:hint="eastAsia" w:ascii="仿宋_GB2312" w:hAnsi="仿宋" w:eastAsia="仿宋_GB2312"/>
          <w:sz w:val="32"/>
          <w:szCs w:val="32"/>
        </w:rPr>
        <w:t xml:space="preserve"> 技术支持系统应当适应浙江电力市场规则，满足市场平稳运营、市场监管等要求。电力市场运营机构按分工负责电力市场技术支持系统的开发、建设、运行、管理和维护：</w:t>
      </w:r>
    </w:p>
    <w:p>
      <w:pPr>
        <w:ind w:firstLine="645"/>
        <w:rPr>
          <w:rFonts w:hint="eastAsia" w:ascii="仿宋_GB2312" w:hAnsi="仿宋" w:eastAsia="仿宋_GB2312"/>
          <w:sz w:val="32"/>
          <w:szCs w:val="32"/>
        </w:rPr>
      </w:pPr>
      <w:r>
        <w:rPr>
          <w:rFonts w:hint="eastAsia" w:ascii="仿宋_GB2312" w:hAnsi="仿宋" w:eastAsia="仿宋_GB2312"/>
          <w:sz w:val="32"/>
          <w:szCs w:val="32"/>
        </w:rPr>
        <w:t>（一）技术支持系统开发建设应当符合国家有关技术要求和功能规范；</w:t>
      </w:r>
    </w:p>
    <w:p>
      <w:pPr>
        <w:ind w:firstLine="645"/>
        <w:rPr>
          <w:rFonts w:hint="eastAsia" w:ascii="仿宋_GB2312" w:hAnsi="仿宋" w:eastAsia="仿宋_GB2312"/>
          <w:sz w:val="32"/>
          <w:szCs w:val="32"/>
        </w:rPr>
      </w:pPr>
      <w:r>
        <w:rPr>
          <w:rFonts w:hint="eastAsia" w:ascii="仿宋_GB2312" w:hAnsi="仿宋" w:eastAsia="仿宋_GB2312"/>
          <w:sz w:val="32"/>
          <w:szCs w:val="32"/>
        </w:rPr>
        <w:t>（二）技术支持系统建设和运行应当严格遵守《网络安全法》《电力监控系统安全防护规定》有关规定，保证安全可靠运行；</w:t>
      </w:r>
    </w:p>
    <w:p>
      <w:pPr>
        <w:ind w:firstLine="645"/>
        <w:rPr>
          <w:rFonts w:hint="eastAsia" w:ascii="仿宋_GB2312" w:hAnsi="仿宋" w:eastAsia="仿宋_GB2312"/>
          <w:sz w:val="32"/>
          <w:szCs w:val="32"/>
        </w:rPr>
      </w:pPr>
      <w:r>
        <w:rPr>
          <w:rFonts w:hint="eastAsia" w:ascii="仿宋_GB2312" w:hAnsi="仿宋" w:eastAsia="仿宋_GB2312"/>
          <w:sz w:val="32"/>
          <w:szCs w:val="32"/>
        </w:rPr>
        <w:t>（三）技术支持系统应当按规定通过独立第三方专家和专业机构的现货出清模型算法验证、系统功能评审和安全评估等；</w:t>
      </w:r>
    </w:p>
    <w:p>
      <w:pPr>
        <w:ind w:firstLine="645"/>
        <w:rPr>
          <w:rFonts w:hint="eastAsia" w:ascii="仿宋_GB2312" w:hAnsi="仿宋" w:eastAsia="仿宋_GB2312"/>
          <w:sz w:val="32"/>
          <w:szCs w:val="32"/>
        </w:rPr>
      </w:pPr>
      <w:r>
        <w:rPr>
          <w:rFonts w:hint="eastAsia" w:ascii="仿宋_GB2312" w:hAnsi="仿宋" w:eastAsia="仿宋_GB2312"/>
          <w:sz w:val="32"/>
          <w:szCs w:val="32"/>
        </w:rPr>
        <w:t>（四）电力市场运营机构应当编制信息安全事故（事件）应急处置预案，做好事前主动防御，定期开展应急演练，保障技术支持系统连续稳定运行。</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第三十一条</w:t>
      </w:r>
      <w:r>
        <w:rPr>
          <w:rFonts w:hint="eastAsia" w:ascii="仿宋_GB2312" w:hAnsi="仿宋" w:eastAsia="仿宋_GB2312"/>
          <w:sz w:val="32"/>
          <w:szCs w:val="32"/>
        </w:rPr>
        <w:t xml:space="preserve"> 电力市场运营机构应当规范技术支持系统管理，确保系统操作有记录、可回溯，包括但不限于：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（一）电力市场成员系统账户的开通、调整及注销等操作均有记录，同一类型经营主体账户权限应当一致；</w:t>
      </w:r>
    </w:p>
    <w:p>
      <w:pPr>
        <w:ind w:firstLine="645"/>
        <w:rPr>
          <w:rFonts w:hint="eastAsia" w:ascii="仿宋_GB2312" w:hAnsi="仿宋" w:eastAsia="仿宋_GB2312"/>
          <w:sz w:val="32"/>
          <w:szCs w:val="32"/>
        </w:rPr>
      </w:pPr>
      <w:r>
        <w:rPr>
          <w:rFonts w:hint="eastAsia" w:ascii="仿宋_GB2312" w:hAnsi="仿宋" w:eastAsia="仿宋_GB2312"/>
          <w:sz w:val="32"/>
          <w:szCs w:val="32"/>
        </w:rPr>
        <w:t>（二）技术支持系统应当保存用户所有操作日志，包括但不限于系统用户所使用的内网登录标识、网络IP、IP所在地、操作时间、操作内容等；</w:t>
      </w:r>
    </w:p>
    <w:p>
      <w:pPr>
        <w:ind w:firstLine="645"/>
        <w:rPr>
          <w:rFonts w:hint="eastAsia" w:ascii="仿宋_GB2312" w:hAnsi="仿宋" w:eastAsia="仿宋_GB2312"/>
          <w:sz w:val="32"/>
          <w:szCs w:val="32"/>
        </w:rPr>
      </w:pPr>
      <w:r>
        <w:rPr>
          <w:rFonts w:hint="eastAsia" w:ascii="仿宋_GB2312" w:hAnsi="仿宋" w:eastAsia="仿宋_GB2312"/>
          <w:sz w:val="32"/>
          <w:szCs w:val="32"/>
        </w:rPr>
        <w:t>（三）技术支持系统应当保存交易全过程日志，对交易全过程可回溯和还原；</w:t>
      </w:r>
    </w:p>
    <w:p>
      <w:pPr>
        <w:ind w:firstLine="645"/>
        <w:rPr>
          <w:rFonts w:hint="eastAsia" w:ascii="仿宋_GB2312" w:hAnsi="仿宋" w:eastAsia="仿宋_GB2312"/>
          <w:sz w:val="32"/>
          <w:szCs w:val="32"/>
        </w:rPr>
      </w:pPr>
      <w:r>
        <w:rPr>
          <w:rFonts w:hint="eastAsia" w:ascii="仿宋_GB2312" w:hAnsi="仿宋" w:eastAsia="仿宋_GB2312"/>
          <w:sz w:val="32"/>
          <w:szCs w:val="32"/>
        </w:rPr>
        <w:t>（四）技术支持系统日志保存时间应当满足电力市场运营系统现货交易和结算功能规范以及信息披露监管相关规定等要求。</w:t>
      </w:r>
    </w:p>
    <w:p>
      <w:pPr>
        <w:ind w:firstLine="645"/>
        <w:rPr>
          <w:rFonts w:ascii="仿宋_GB2312" w:hAnsi="仿宋" w:eastAsia="仿宋_GB2312"/>
          <w:sz w:val="32"/>
          <w:szCs w:val="32"/>
        </w:rPr>
      </w:pPr>
      <w:r>
        <w:rPr>
          <w:rFonts w:hint="eastAsia" w:ascii="仿宋_GB2312" w:hAnsi="仿宋" w:eastAsia="仿宋_GB2312"/>
          <w:b/>
          <w:sz w:val="32"/>
          <w:szCs w:val="32"/>
        </w:rPr>
        <w:t>第三十二条</w:t>
      </w:r>
      <w:r>
        <w:rPr>
          <w:rFonts w:hint="eastAsia" w:ascii="仿宋_GB2312" w:hAnsi="仿宋" w:eastAsia="仿宋_GB2312"/>
          <w:sz w:val="32"/>
          <w:szCs w:val="32"/>
        </w:rPr>
        <w:t xml:space="preserve"> 电力市场运营机构应当以年度为周期组织对技术支持系统运行情况进行总结和自查，并于每年3月底前形成书面报告向浙江能源监管办报送。</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第三十三条 </w:t>
      </w:r>
      <w:r>
        <w:rPr>
          <w:rFonts w:hint="eastAsia" w:ascii="仿宋_GB2312" w:hAnsi="仿宋" w:eastAsia="仿宋_GB2312"/>
          <w:sz w:val="32"/>
          <w:szCs w:val="32"/>
        </w:rPr>
        <w:t>电力市场运营机构应当根据浙江能源监管办要求，将与市场监管相关的各类市场运营数据和信息等接入电力监管信息系统。相关运营数据和信息原则上采用加密传输，确保信息安全，不得向无关人员、机构泄露。</w:t>
      </w:r>
    </w:p>
    <w:p>
      <w:pPr>
        <w:jc w:val="center"/>
        <w:rPr>
          <w:rFonts w:hint="eastAsia" w:asciiTheme="minorEastAsia" w:hAnsiTheme="minorEastAsia" w:eastAsiaTheme="minorEastAsia"/>
          <w:sz w:val="32"/>
          <w:szCs w:val="32"/>
          <w:lang w:val="en-US" w:eastAsia="zh-CN"/>
        </w:rPr>
      </w:pPr>
      <w:r>
        <w:rPr>
          <w:rFonts w:hint="eastAsia" w:asciiTheme="minorEastAsia" w:hAnsiTheme="minorEastAsia"/>
          <w:sz w:val="32"/>
          <w:szCs w:val="32"/>
        </w:rPr>
        <w:t>第</w:t>
      </w:r>
      <w:r>
        <w:rPr>
          <w:rFonts w:hint="eastAsia" w:asciiTheme="minorEastAsia" w:hAnsiTheme="minorEastAsia"/>
          <w:sz w:val="32"/>
          <w:szCs w:val="32"/>
          <w:lang w:val="en-US" w:eastAsia="zh-CN"/>
        </w:rPr>
        <w:t>四</w:t>
      </w:r>
      <w:r>
        <w:rPr>
          <w:rFonts w:hint="eastAsia" w:asciiTheme="minorEastAsia" w:hAnsiTheme="minorEastAsia"/>
          <w:sz w:val="32"/>
          <w:szCs w:val="32"/>
        </w:rPr>
        <w:t>章 市场运营信息保密和从业回避监管</w:t>
      </w:r>
    </w:p>
    <w:p>
      <w:pPr>
        <w:ind w:firstLine="645"/>
        <w:rPr>
          <w:rFonts w:ascii="仿宋_GB2312" w:hAnsi="仿宋" w:eastAsia="仿宋_GB2312"/>
          <w:sz w:val="32"/>
          <w:szCs w:val="32"/>
        </w:rPr>
      </w:pPr>
      <w:r>
        <w:rPr>
          <w:rFonts w:hint="eastAsia" w:ascii="仿宋_GB2312" w:hAnsi="仿宋" w:eastAsia="仿宋_GB2312"/>
          <w:b/>
          <w:sz w:val="32"/>
          <w:szCs w:val="32"/>
        </w:rPr>
        <w:t>第三十四条</w:t>
      </w:r>
      <w:r>
        <w:rPr>
          <w:rFonts w:hint="eastAsia" w:ascii="仿宋_GB2312" w:hAnsi="仿宋" w:eastAsia="仿宋_GB2312"/>
          <w:sz w:val="32"/>
          <w:szCs w:val="32"/>
        </w:rPr>
        <w:t xml:space="preserve"> 电力市场运营机构负责建立市场运营信息保密和从业回避制度，明确内设部门的信息管理权限，控制关键信息的知悉范围，定期组织相关制度的修订完善、宣贯培训和排查、检查等。</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第三十五条 </w:t>
      </w:r>
      <w:r>
        <w:rPr>
          <w:rFonts w:hint="eastAsia" w:ascii="仿宋_GB2312" w:hAnsi="仿宋" w:eastAsia="仿宋_GB2312"/>
          <w:sz w:val="32"/>
          <w:szCs w:val="32"/>
        </w:rPr>
        <w:t>电力市场运营机构信息保密管理制度应明确市场运营信息的保密登记、敏感程度、知情人范围。电力市场运营机构加强信息获取、传递和使用的登记管理，按照规定与知情人签署保密协议，定期开展自查，形成书面自查报告。</w:t>
      </w:r>
    </w:p>
    <w:p>
      <w:pPr>
        <w:ind w:firstLine="645"/>
        <w:rPr>
          <w:rFonts w:ascii="仿宋_GB2312" w:hAnsi="仿宋" w:eastAsia="仿宋_GB2312"/>
          <w:sz w:val="32"/>
          <w:szCs w:val="32"/>
        </w:rPr>
      </w:pPr>
      <w:r>
        <w:rPr>
          <w:rFonts w:hint="eastAsia" w:ascii="仿宋_GB2312" w:hAnsi="仿宋" w:eastAsia="仿宋_GB2312"/>
          <w:sz w:val="32"/>
          <w:szCs w:val="32"/>
        </w:rPr>
        <w:t>电力市场运营机构应当对技术支持系统开发建设人员建立保密管理制度，明确涉密信息的知情人范围；进行信息知情人登记管理，按照规定签署保密协议。提供技术支持系统开发的企业，不得在本区域内从事交易、代理报价和相关的咨询服务等业务。</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w:t>
      </w: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 xml:space="preserve">条 </w:t>
      </w:r>
      <w:r>
        <w:rPr>
          <w:rFonts w:hint="eastAsia" w:ascii="仿宋_GB2312" w:hAnsi="仿宋" w:eastAsia="仿宋_GB2312"/>
          <w:sz w:val="32"/>
          <w:szCs w:val="32"/>
        </w:rPr>
        <w:t>电力交易内幕信息，是指在市场交易活动中，涉及市场交易或者可能导致市场交易结果发生变化的非公众或非公开信息。因泄露电力交易内幕信息对市场交易结果产生较大影响、引起经营主体不当获利或利益受损的，应当追究相关责任人行政责任，必要时移送司法机关处理。电力市场运营机构从业人员不得通过以下方式违规泄露、获取电力交易内幕信息：</w:t>
      </w:r>
    </w:p>
    <w:p>
      <w:pPr>
        <w:ind w:firstLine="645"/>
        <w:rPr>
          <w:rFonts w:hint="eastAsia" w:ascii="仿宋_GB2312" w:hAnsi="仿宋" w:eastAsia="仿宋_GB2312"/>
          <w:sz w:val="32"/>
          <w:szCs w:val="32"/>
        </w:rPr>
      </w:pPr>
      <w:r>
        <w:rPr>
          <w:rFonts w:hint="eastAsia" w:ascii="仿宋_GB2312" w:hAnsi="仿宋" w:eastAsia="仿宋_GB2312"/>
          <w:sz w:val="32"/>
          <w:szCs w:val="32"/>
        </w:rPr>
        <w:t>（一）电力市场运营机构从业人员在所在市场范围内从事电力批发交易业务的经营主体兼任职务；</w:t>
      </w:r>
    </w:p>
    <w:p>
      <w:pPr>
        <w:ind w:firstLine="645"/>
        <w:rPr>
          <w:rFonts w:hint="eastAsia" w:ascii="仿宋_GB2312" w:hAnsi="仿宋" w:eastAsia="仿宋_GB2312"/>
          <w:sz w:val="32"/>
          <w:szCs w:val="32"/>
        </w:rPr>
      </w:pPr>
      <w:r>
        <w:rPr>
          <w:rFonts w:hint="eastAsia" w:ascii="仿宋_GB2312" w:hAnsi="仿宋" w:eastAsia="仿宋_GB2312"/>
          <w:sz w:val="32"/>
          <w:szCs w:val="32"/>
        </w:rPr>
        <w:t>（二）电力市场运营机构从业人员未经所在单位书面授权获取其岗位职责以外的电力交易内幕信息；</w:t>
      </w:r>
    </w:p>
    <w:p>
      <w:pPr>
        <w:ind w:firstLine="645"/>
        <w:rPr>
          <w:rFonts w:hint="eastAsia" w:ascii="仿宋_GB2312" w:hAnsi="仿宋" w:eastAsia="仿宋_GB2312"/>
          <w:sz w:val="32"/>
          <w:szCs w:val="32"/>
        </w:rPr>
      </w:pPr>
      <w:r>
        <w:rPr>
          <w:rFonts w:hint="eastAsia" w:ascii="仿宋_GB2312" w:hAnsi="仿宋" w:eastAsia="仿宋_GB2312"/>
          <w:sz w:val="32"/>
          <w:szCs w:val="32"/>
        </w:rPr>
        <w:t>（三）电力市场运营机构从业人员擅自向市场利益相关方或无关人员泄露电力交易内幕信息；</w:t>
      </w:r>
    </w:p>
    <w:p>
      <w:pPr>
        <w:ind w:firstLine="645"/>
        <w:rPr>
          <w:rFonts w:hint="eastAsia" w:ascii="仿宋_GB2312" w:hAnsi="仿宋" w:eastAsia="仿宋_GB2312"/>
          <w:sz w:val="32"/>
          <w:szCs w:val="32"/>
        </w:rPr>
      </w:pPr>
      <w:r>
        <w:rPr>
          <w:rFonts w:hint="eastAsia" w:ascii="仿宋_GB2312" w:hAnsi="仿宋" w:eastAsia="仿宋_GB2312"/>
          <w:sz w:val="32"/>
          <w:szCs w:val="32"/>
        </w:rPr>
        <w:t>（四）电力市场运营机构关键岗位从业人员违反规定，脱敏期未满三年，在其所在市场范围内直接参与电力批发交易活动；</w:t>
      </w:r>
    </w:p>
    <w:p>
      <w:pPr>
        <w:ind w:firstLine="645"/>
        <w:rPr>
          <w:rFonts w:hint="eastAsia" w:ascii="仿宋_GB2312" w:hAnsi="仿宋" w:eastAsia="仿宋_GB2312"/>
          <w:sz w:val="32"/>
          <w:szCs w:val="32"/>
        </w:rPr>
      </w:pPr>
      <w:r>
        <w:rPr>
          <w:rFonts w:hint="eastAsia" w:ascii="仿宋_GB2312" w:hAnsi="仿宋" w:eastAsia="仿宋_GB2312"/>
          <w:sz w:val="32"/>
          <w:szCs w:val="32"/>
        </w:rPr>
        <w:t>（五）其他违规泄露、获取电力交易内幕信息的情形。</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第三十七条</w:t>
      </w:r>
      <w:r>
        <w:rPr>
          <w:rFonts w:hint="eastAsia" w:ascii="仿宋_GB2312" w:hAnsi="仿宋" w:eastAsia="仿宋_GB2312"/>
          <w:sz w:val="32"/>
          <w:szCs w:val="32"/>
        </w:rPr>
        <w:t xml:space="preserve"> 电力市场运营机构应当规范市场运营电力交易内幕信息管理，动态掌握关键岗位人员变动情况，规范董事、监事执业行为。市场运营业务关键岗位包括但不限于：</w:t>
      </w:r>
    </w:p>
    <w:p>
      <w:pPr>
        <w:ind w:firstLine="645"/>
        <w:rPr>
          <w:rFonts w:hint="eastAsia" w:ascii="仿宋_GB2312" w:hAnsi="仿宋" w:eastAsia="仿宋_GB2312"/>
          <w:sz w:val="32"/>
          <w:szCs w:val="32"/>
        </w:rPr>
      </w:pPr>
      <w:r>
        <w:rPr>
          <w:rFonts w:hint="eastAsia" w:ascii="仿宋_GB2312" w:hAnsi="仿宋" w:eastAsia="仿宋_GB2312"/>
          <w:sz w:val="32"/>
          <w:szCs w:val="32"/>
        </w:rPr>
        <w:t>（一）电力市场运营机构高级管理人员；</w:t>
      </w:r>
    </w:p>
    <w:p>
      <w:pPr>
        <w:ind w:firstLine="645"/>
        <w:rPr>
          <w:rFonts w:hint="eastAsia" w:ascii="仿宋_GB2312" w:hAnsi="仿宋" w:eastAsia="仿宋_GB2312"/>
          <w:sz w:val="32"/>
          <w:szCs w:val="32"/>
        </w:rPr>
      </w:pPr>
      <w:r>
        <w:rPr>
          <w:rFonts w:hint="eastAsia" w:ascii="仿宋_GB2312" w:hAnsi="仿宋" w:eastAsia="仿宋_GB2312"/>
          <w:sz w:val="32"/>
          <w:szCs w:val="32"/>
        </w:rPr>
        <w:t>（二）电力交易机构从事市场注册管理、合同管理、交易组织、交易结算和市场信息管理等市场交易核心业务的岗位和人员；</w:t>
      </w:r>
    </w:p>
    <w:p>
      <w:pPr>
        <w:ind w:firstLine="645"/>
        <w:rPr>
          <w:rFonts w:hint="eastAsia" w:ascii="仿宋_GB2312" w:hAnsi="仿宋" w:eastAsia="仿宋_GB2312"/>
          <w:sz w:val="32"/>
          <w:szCs w:val="32"/>
        </w:rPr>
      </w:pPr>
      <w:r>
        <w:rPr>
          <w:rFonts w:hint="eastAsia" w:ascii="仿宋_GB2312" w:hAnsi="仿宋" w:eastAsia="仿宋_GB2312"/>
          <w:sz w:val="32"/>
          <w:szCs w:val="32"/>
        </w:rPr>
        <w:t>（三）电力调度机构从事负荷预测、运行方式、检修安排（包括计划与非计划）、电网调度和并网管理等电力调度核心业务的岗位和人员；</w:t>
      </w:r>
    </w:p>
    <w:p>
      <w:pPr>
        <w:ind w:firstLine="645"/>
        <w:rPr>
          <w:rFonts w:hint="eastAsia" w:ascii="仿宋_GB2312" w:hAnsi="仿宋" w:eastAsia="仿宋_GB2312"/>
          <w:sz w:val="32"/>
          <w:szCs w:val="32"/>
        </w:rPr>
      </w:pPr>
      <w:r>
        <w:rPr>
          <w:rFonts w:hint="eastAsia" w:ascii="仿宋_GB2312" w:hAnsi="仿宋" w:eastAsia="仿宋_GB2312"/>
          <w:sz w:val="32"/>
          <w:szCs w:val="32"/>
        </w:rPr>
        <w:t>（四）市场运营技术支持系统建设、运维人员；</w:t>
      </w:r>
    </w:p>
    <w:p>
      <w:pPr>
        <w:ind w:firstLine="645"/>
        <w:rPr>
          <w:rFonts w:ascii="仿宋_GB2312" w:hAnsi="仿宋" w:eastAsia="仿宋_GB2312"/>
          <w:sz w:val="32"/>
          <w:szCs w:val="32"/>
        </w:rPr>
      </w:pPr>
      <w:r>
        <w:rPr>
          <w:rFonts w:hint="eastAsia" w:ascii="仿宋_GB2312" w:hAnsi="仿宋" w:eastAsia="仿宋_GB2312"/>
          <w:sz w:val="32"/>
          <w:szCs w:val="32"/>
        </w:rPr>
        <w:t>（五）浙江能源监管办认定的因履行市场运营工作职能获取电力交易内幕信息的其他岗位和人员。</w:t>
      </w:r>
    </w:p>
    <w:p>
      <w:pPr>
        <w:ind w:firstLine="645"/>
        <w:rPr>
          <w:rFonts w:ascii="仿宋_GB2312" w:hAnsi="仿宋" w:eastAsia="仿宋_GB2312"/>
          <w:sz w:val="32"/>
          <w:szCs w:val="32"/>
        </w:rPr>
      </w:pPr>
      <w:r>
        <w:rPr>
          <w:rFonts w:hint="eastAsia" w:ascii="仿宋_GB2312" w:hAnsi="仿宋" w:eastAsia="仿宋_GB2312"/>
          <w:b/>
          <w:sz w:val="32"/>
          <w:szCs w:val="32"/>
        </w:rPr>
        <w:t>第三十八条</w:t>
      </w:r>
      <w:r>
        <w:rPr>
          <w:rFonts w:hint="eastAsia" w:ascii="仿宋_GB2312" w:hAnsi="仿宋" w:eastAsia="仿宋_GB2312"/>
          <w:sz w:val="32"/>
          <w:szCs w:val="32"/>
        </w:rPr>
        <w:t xml:space="preserve"> 电力市场运营机构从业人员在履行职责时，本人及其亲属与经营主体利益相关的，从业人员应回避。</w:t>
      </w:r>
    </w:p>
    <w:p>
      <w:pPr>
        <w:jc w:val="center"/>
        <w:rPr>
          <w:rFonts w:hint="default" w:asciiTheme="minorEastAsia" w:hAnsiTheme="minorEastAsia" w:eastAsiaTheme="minorEastAsia"/>
          <w:sz w:val="32"/>
          <w:szCs w:val="32"/>
          <w:lang w:val="en-US" w:eastAsia="zh-CN"/>
        </w:rPr>
      </w:pPr>
      <w:r>
        <w:rPr>
          <w:rFonts w:hint="eastAsia" w:asciiTheme="minorEastAsia" w:hAnsiTheme="minorEastAsia"/>
          <w:sz w:val="32"/>
          <w:szCs w:val="32"/>
        </w:rPr>
        <w:t>第</w:t>
      </w:r>
      <w:r>
        <w:rPr>
          <w:rFonts w:hint="eastAsia" w:asciiTheme="minorEastAsia" w:hAnsiTheme="minorEastAsia"/>
          <w:sz w:val="32"/>
          <w:szCs w:val="32"/>
          <w:lang w:val="en-US" w:eastAsia="zh-CN"/>
        </w:rPr>
        <w:t>五</w:t>
      </w:r>
      <w:r>
        <w:rPr>
          <w:rFonts w:hint="eastAsia" w:asciiTheme="minorEastAsia" w:hAnsiTheme="minorEastAsia"/>
          <w:sz w:val="32"/>
          <w:szCs w:val="32"/>
        </w:rPr>
        <w:t xml:space="preserve">章 </w:t>
      </w:r>
      <w:r>
        <w:rPr>
          <w:rFonts w:hint="eastAsia" w:asciiTheme="minorEastAsia" w:hAnsiTheme="minorEastAsia"/>
          <w:sz w:val="32"/>
          <w:szCs w:val="32"/>
          <w:lang w:val="en-US" w:eastAsia="zh-CN"/>
        </w:rPr>
        <w:t>监管措施</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第三十九条 </w:t>
      </w:r>
      <w:r>
        <w:rPr>
          <w:rFonts w:hint="eastAsia" w:ascii="仿宋_GB2312" w:hAnsi="仿宋" w:eastAsia="仿宋_GB2312"/>
          <w:sz w:val="32"/>
          <w:szCs w:val="32"/>
        </w:rPr>
        <w:t>浙江能源监管办常态化开展电力市场运营机构工作情况的回访，通过网站、短信、电话以及微博微信等途径掌握经营主体对电力市场运营机构工作的满意情况。经营主体反映电力市场运营机构工作相关问题属实的，浙江能源监管办按规定予以查处。</w:t>
      </w:r>
    </w:p>
    <w:p>
      <w:pPr>
        <w:ind w:firstLine="645"/>
        <w:rPr>
          <w:rFonts w:ascii="仿宋_GB2312" w:hAnsi="仿宋" w:eastAsia="仿宋_GB2312"/>
          <w:sz w:val="32"/>
          <w:szCs w:val="32"/>
        </w:rPr>
      </w:pPr>
      <w:r>
        <w:rPr>
          <w:rFonts w:hint="eastAsia" w:ascii="仿宋_GB2312" w:hAnsi="仿宋" w:eastAsia="仿宋_GB2312"/>
          <w:b/>
          <w:sz w:val="32"/>
          <w:szCs w:val="32"/>
        </w:rPr>
        <w:t>第四十条</w:t>
      </w:r>
      <w:r>
        <w:rPr>
          <w:rFonts w:hint="eastAsia" w:ascii="仿宋_GB2312" w:hAnsi="仿宋" w:eastAsia="仿宋_GB2312"/>
          <w:sz w:val="32"/>
          <w:szCs w:val="32"/>
        </w:rPr>
        <w:t xml:space="preserve"> 浙江能源监管办、经委托的第三方机构根据工作需要，可以定期、不定期登录电力市场运营机构有关信息系统，对披露、报送和接入监管信息系统的数据信息等进行核查、核实，充分利用互联网和大数据分析方式加强对电力市场运营机构合规性监管，不定期抽查电力市场运营机构披露信息的及时性、准确性、完整性。</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第四十一条 </w:t>
      </w:r>
      <w:r>
        <w:rPr>
          <w:rFonts w:hint="eastAsia" w:ascii="仿宋_GB2312" w:hAnsi="仿宋" w:eastAsia="仿宋_GB2312"/>
          <w:sz w:val="32"/>
          <w:szCs w:val="32"/>
        </w:rPr>
        <w:t>浙江能源监管办不定期抽查电力市场运营机构信息保密要求落实情况，包括但不限于管理制度制定和落实情况；信息获取、传递和使用的登记管理情况；保密协议签署情况及信息保密工作定期自查情况。</w:t>
      </w:r>
    </w:p>
    <w:p>
      <w:pPr>
        <w:ind w:firstLine="645"/>
        <w:rPr>
          <w:rFonts w:ascii="仿宋_GB2312" w:hAnsi="仿宋" w:eastAsia="仿宋_GB2312"/>
          <w:sz w:val="32"/>
          <w:szCs w:val="32"/>
        </w:rPr>
      </w:pPr>
      <w:r>
        <w:rPr>
          <w:rFonts w:hint="eastAsia" w:ascii="仿宋_GB2312" w:hAnsi="仿宋" w:eastAsia="仿宋_GB2312"/>
          <w:b/>
          <w:sz w:val="32"/>
          <w:szCs w:val="32"/>
        </w:rPr>
        <w:t>第四十二条</w:t>
      </w:r>
      <w:r>
        <w:rPr>
          <w:rFonts w:hint="eastAsia" w:ascii="仿宋_GB2312" w:hAnsi="仿宋" w:eastAsia="仿宋_GB2312"/>
          <w:sz w:val="32"/>
          <w:szCs w:val="32"/>
        </w:rPr>
        <w:t xml:space="preserve"> 电力市场运营机构违反本指引监管要求的，浙江能源监管办按照《电力监管条例》《电力市场监管办法》《浙江电力市场监管实施办法》等有关规定处理。</w:t>
      </w:r>
    </w:p>
    <w:p>
      <w:pPr>
        <w:jc w:val="center"/>
        <w:rPr>
          <w:rFonts w:hint="eastAsia" w:asciiTheme="minorEastAsia" w:hAnsiTheme="minorEastAsia" w:eastAsiaTheme="minorEastAsia"/>
          <w:sz w:val="32"/>
          <w:szCs w:val="32"/>
          <w:lang w:eastAsia="zh-CN"/>
        </w:rPr>
      </w:pPr>
      <w:r>
        <w:rPr>
          <w:rFonts w:hint="eastAsia" w:asciiTheme="minorEastAsia" w:hAnsiTheme="minorEastAsia"/>
          <w:sz w:val="32"/>
          <w:szCs w:val="32"/>
        </w:rPr>
        <w:t>第</w:t>
      </w:r>
      <w:r>
        <w:rPr>
          <w:rFonts w:hint="eastAsia" w:asciiTheme="minorEastAsia" w:hAnsiTheme="minorEastAsia"/>
          <w:sz w:val="32"/>
          <w:szCs w:val="32"/>
          <w:lang w:val="en-US" w:eastAsia="zh-CN"/>
        </w:rPr>
        <w:t>六</w:t>
      </w:r>
      <w:r>
        <w:rPr>
          <w:rFonts w:hint="eastAsia" w:asciiTheme="minorEastAsia" w:hAnsiTheme="minorEastAsia"/>
          <w:sz w:val="32"/>
          <w:szCs w:val="32"/>
        </w:rPr>
        <w:t xml:space="preserve">章 </w:t>
      </w:r>
      <w:r>
        <w:rPr>
          <w:rFonts w:hint="eastAsia" w:asciiTheme="minorEastAsia" w:hAnsiTheme="minorEastAsia"/>
          <w:sz w:val="32"/>
          <w:szCs w:val="32"/>
          <w:lang w:val="en-US" w:eastAsia="zh-CN"/>
        </w:rPr>
        <w:t>附则</w:t>
      </w:r>
    </w:p>
    <w:p>
      <w:pPr>
        <w:ind w:firstLine="645"/>
        <w:rPr>
          <w:rFonts w:ascii="仿宋_GB2312" w:hAnsi="仿宋" w:eastAsia="仿宋_GB2312"/>
          <w:sz w:val="32"/>
          <w:szCs w:val="32"/>
        </w:rPr>
      </w:pPr>
      <w:r>
        <w:rPr>
          <w:rFonts w:hint="eastAsia" w:ascii="仿宋_GB2312" w:hAnsi="仿宋" w:eastAsia="仿宋_GB2312"/>
          <w:b/>
          <w:sz w:val="32"/>
          <w:szCs w:val="32"/>
        </w:rPr>
        <w:t>第四十三条</w:t>
      </w:r>
      <w:r>
        <w:rPr>
          <w:rFonts w:hint="eastAsia" w:ascii="仿宋_GB2312" w:hAnsi="仿宋" w:eastAsia="仿宋_GB2312"/>
          <w:sz w:val="32"/>
          <w:szCs w:val="32"/>
        </w:rPr>
        <w:t xml:space="preserve"> 本指引由浙江能源监管办负责解释，并根据浙江电力市场发展需要适时进行修订。</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第四十四条 </w:t>
      </w:r>
      <w:r>
        <w:rPr>
          <w:rFonts w:hint="eastAsia" w:ascii="仿宋_GB2312" w:hAnsi="仿宋" w:eastAsia="仿宋_GB2312"/>
          <w:sz w:val="32"/>
          <w:szCs w:val="32"/>
        </w:rPr>
        <w:t>本指引自2026年X月X日起施行。2023年3月24日发布的《浙江电力调度交易机构市场运营监管指引（试行）》（浙监能市场〔2023〕5号）同时废止。</w:t>
      </w:r>
    </w:p>
    <w:sectPr>
      <w:footerReference r:id="rId3" w:type="default"/>
      <w:footerReference r:id="rId4" w:type="even"/>
      <w:pgSz w:w="11906" w:h="16838"/>
      <w:pgMar w:top="1134" w:right="1800" w:bottom="1134" w:left="1800" w:header="737" w:footer="737"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ourier">
    <w:altName w:val="Courier New"/>
    <w:panose1 w:val="02070409020205020404"/>
    <w:charset w:val="00"/>
    <w:family w:val="modern"/>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2112507431"/>
                  <w:docPartObj>
                    <w:docPartGallery w:val="autotext"/>
                  </w:docPartObj>
                </w:sdtPr>
                <w:sdtEndPr>
                  <w:rPr>
                    <w:rFonts w:hint="eastAsia" w:ascii="仿宋_GB2312" w:hAnsi="仿宋_GB2312" w:eastAsia="仿宋_GB2312" w:cs="仿宋_GB2312"/>
                    <w:sz w:val="28"/>
                    <w:szCs w:val="28"/>
                  </w:rPr>
                </w:sdtEndPr>
                <w:sdtContent>
                  <w:p>
                    <w:pPr>
                      <w:pStyle w:val="5"/>
                      <w:ind w:right="277" w:rightChars="132"/>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sdtContent>
              </w:sdt>
              <w:p/>
            </w:txbxContent>
          </v:textbox>
        </v:shape>
      </w:pic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2050" o:spid="_x0000_s2050"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5"/>
                  <w:ind w:left="15" w:leftChars="7" w:firstLine="201" w:firstLineChars="7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50CEF"/>
    <w:rsid w:val="000014DD"/>
    <w:rsid w:val="000051FE"/>
    <w:rsid w:val="00007AC1"/>
    <w:rsid w:val="0001155C"/>
    <w:rsid w:val="00011FE4"/>
    <w:rsid w:val="00012ECA"/>
    <w:rsid w:val="0001566D"/>
    <w:rsid w:val="00016274"/>
    <w:rsid w:val="00020061"/>
    <w:rsid w:val="00020617"/>
    <w:rsid w:val="000207EA"/>
    <w:rsid w:val="00020E58"/>
    <w:rsid w:val="00020EE0"/>
    <w:rsid w:val="00025322"/>
    <w:rsid w:val="000277AB"/>
    <w:rsid w:val="00027D9E"/>
    <w:rsid w:val="000319AE"/>
    <w:rsid w:val="00035BE7"/>
    <w:rsid w:val="00042F4D"/>
    <w:rsid w:val="00045B2C"/>
    <w:rsid w:val="0005280F"/>
    <w:rsid w:val="00052AB7"/>
    <w:rsid w:val="000533B4"/>
    <w:rsid w:val="00054FC1"/>
    <w:rsid w:val="00055FAF"/>
    <w:rsid w:val="00056BAA"/>
    <w:rsid w:val="00057B84"/>
    <w:rsid w:val="00061D84"/>
    <w:rsid w:val="00062929"/>
    <w:rsid w:val="00064741"/>
    <w:rsid w:val="000648FD"/>
    <w:rsid w:val="00064E98"/>
    <w:rsid w:val="000657D4"/>
    <w:rsid w:val="0006765B"/>
    <w:rsid w:val="00070529"/>
    <w:rsid w:val="00070AF9"/>
    <w:rsid w:val="00076D3F"/>
    <w:rsid w:val="00081329"/>
    <w:rsid w:val="000814A5"/>
    <w:rsid w:val="000828EB"/>
    <w:rsid w:val="000835B0"/>
    <w:rsid w:val="000863E3"/>
    <w:rsid w:val="00086757"/>
    <w:rsid w:val="00087858"/>
    <w:rsid w:val="00090769"/>
    <w:rsid w:val="000928C2"/>
    <w:rsid w:val="000942F8"/>
    <w:rsid w:val="00095B9E"/>
    <w:rsid w:val="00096BC3"/>
    <w:rsid w:val="00096EC1"/>
    <w:rsid w:val="000A1AC8"/>
    <w:rsid w:val="000A3ECC"/>
    <w:rsid w:val="000A4E2E"/>
    <w:rsid w:val="000A77BD"/>
    <w:rsid w:val="000A79A7"/>
    <w:rsid w:val="000B46B4"/>
    <w:rsid w:val="000C14B0"/>
    <w:rsid w:val="000C53CB"/>
    <w:rsid w:val="000D232E"/>
    <w:rsid w:val="000D6740"/>
    <w:rsid w:val="000D7C33"/>
    <w:rsid w:val="000E0AE0"/>
    <w:rsid w:val="000E0EF2"/>
    <w:rsid w:val="000E1971"/>
    <w:rsid w:val="000E34AA"/>
    <w:rsid w:val="000F3EE9"/>
    <w:rsid w:val="000F4F42"/>
    <w:rsid w:val="000F6697"/>
    <w:rsid w:val="000F6786"/>
    <w:rsid w:val="000F7819"/>
    <w:rsid w:val="00101C30"/>
    <w:rsid w:val="00104332"/>
    <w:rsid w:val="00105C24"/>
    <w:rsid w:val="001128F8"/>
    <w:rsid w:val="00125C00"/>
    <w:rsid w:val="0013014A"/>
    <w:rsid w:val="00131725"/>
    <w:rsid w:val="00133AAA"/>
    <w:rsid w:val="0014232B"/>
    <w:rsid w:val="001442A4"/>
    <w:rsid w:val="00145A11"/>
    <w:rsid w:val="00146BA9"/>
    <w:rsid w:val="00150575"/>
    <w:rsid w:val="0015365F"/>
    <w:rsid w:val="00160C4B"/>
    <w:rsid w:val="0016145F"/>
    <w:rsid w:val="00162864"/>
    <w:rsid w:val="00164D36"/>
    <w:rsid w:val="00166740"/>
    <w:rsid w:val="001725F4"/>
    <w:rsid w:val="00175322"/>
    <w:rsid w:val="00177CC5"/>
    <w:rsid w:val="0018067B"/>
    <w:rsid w:val="0018307B"/>
    <w:rsid w:val="0018464E"/>
    <w:rsid w:val="00186E95"/>
    <w:rsid w:val="001871D0"/>
    <w:rsid w:val="00192D3C"/>
    <w:rsid w:val="001953DF"/>
    <w:rsid w:val="00195401"/>
    <w:rsid w:val="001A051D"/>
    <w:rsid w:val="001A0965"/>
    <w:rsid w:val="001A1393"/>
    <w:rsid w:val="001A47C2"/>
    <w:rsid w:val="001A4FC8"/>
    <w:rsid w:val="001A733C"/>
    <w:rsid w:val="001B0737"/>
    <w:rsid w:val="001B36D4"/>
    <w:rsid w:val="001B4875"/>
    <w:rsid w:val="001B5458"/>
    <w:rsid w:val="001B7894"/>
    <w:rsid w:val="001C02AD"/>
    <w:rsid w:val="001C19B3"/>
    <w:rsid w:val="001C428B"/>
    <w:rsid w:val="001C48D2"/>
    <w:rsid w:val="001D14E9"/>
    <w:rsid w:val="001D4E3F"/>
    <w:rsid w:val="001D696A"/>
    <w:rsid w:val="001E64A4"/>
    <w:rsid w:val="001E664F"/>
    <w:rsid w:val="001E7E8D"/>
    <w:rsid w:val="001F2813"/>
    <w:rsid w:val="001F4F75"/>
    <w:rsid w:val="001F6EA8"/>
    <w:rsid w:val="001F7B34"/>
    <w:rsid w:val="00206C6D"/>
    <w:rsid w:val="00206F9D"/>
    <w:rsid w:val="00210E1A"/>
    <w:rsid w:val="00210FCE"/>
    <w:rsid w:val="00212C12"/>
    <w:rsid w:val="0021385F"/>
    <w:rsid w:val="00217458"/>
    <w:rsid w:val="00222A2D"/>
    <w:rsid w:val="00223358"/>
    <w:rsid w:val="002269E7"/>
    <w:rsid w:val="00232C02"/>
    <w:rsid w:val="00235E17"/>
    <w:rsid w:val="00237109"/>
    <w:rsid w:val="002374FA"/>
    <w:rsid w:val="00244B43"/>
    <w:rsid w:val="00246C71"/>
    <w:rsid w:val="00247FAF"/>
    <w:rsid w:val="00252BF8"/>
    <w:rsid w:val="00254B39"/>
    <w:rsid w:val="00255ACC"/>
    <w:rsid w:val="00255F75"/>
    <w:rsid w:val="00256566"/>
    <w:rsid w:val="00256EFB"/>
    <w:rsid w:val="002579BB"/>
    <w:rsid w:val="00257A62"/>
    <w:rsid w:val="002608EF"/>
    <w:rsid w:val="00263E7E"/>
    <w:rsid w:val="00263FC4"/>
    <w:rsid w:val="00265455"/>
    <w:rsid w:val="002658AD"/>
    <w:rsid w:val="002658B7"/>
    <w:rsid w:val="00272CD4"/>
    <w:rsid w:val="00277610"/>
    <w:rsid w:val="002825D4"/>
    <w:rsid w:val="00284379"/>
    <w:rsid w:val="00286F5C"/>
    <w:rsid w:val="00291190"/>
    <w:rsid w:val="0029656D"/>
    <w:rsid w:val="002A095E"/>
    <w:rsid w:val="002A1F7D"/>
    <w:rsid w:val="002A29CE"/>
    <w:rsid w:val="002A3919"/>
    <w:rsid w:val="002A42BC"/>
    <w:rsid w:val="002A7311"/>
    <w:rsid w:val="002A7C36"/>
    <w:rsid w:val="002B13B3"/>
    <w:rsid w:val="002B2F15"/>
    <w:rsid w:val="002B3BEE"/>
    <w:rsid w:val="002B4A9C"/>
    <w:rsid w:val="002B5911"/>
    <w:rsid w:val="002C1F7F"/>
    <w:rsid w:val="002C2A73"/>
    <w:rsid w:val="002C2D19"/>
    <w:rsid w:val="002D0115"/>
    <w:rsid w:val="002D1EB3"/>
    <w:rsid w:val="002D6A97"/>
    <w:rsid w:val="002D7AC4"/>
    <w:rsid w:val="002E0022"/>
    <w:rsid w:val="002E033E"/>
    <w:rsid w:val="002E15DA"/>
    <w:rsid w:val="002E3F14"/>
    <w:rsid w:val="002E4B58"/>
    <w:rsid w:val="002E6E87"/>
    <w:rsid w:val="002F7FD7"/>
    <w:rsid w:val="00301A03"/>
    <w:rsid w:val="00305970"/>
    <w:rsid w:val="00310B8D"/>
    <w:rsid w:val="003129DC"/>
    <w:rsid w:val="00314EB0"/>
    <w:rsid w:val="003153A9"/>
    <w:rsid w:val="00321F18"/>
    <w:rsid w:val="00322D4F"/>
    <w:rsid w:val="003255C6"/>
    <w:rsid w:val="00326521"/>
    <w:rsid w:val="003308DB"/>
    <w:rsid w:val="00330B5C"/>
    <w:rsid w:val="003336D5"/>
    <w:rsid w:val="0033430D"/>
    <w:rsid w:val="003422C1"/>
    <w:rsid w:val="003446C0"/>
    <w:rsid w:val="00346CBD"/>
    <w:rsid w:val="00350CEF"/>
    <w:rsid w:val="00352905"/>
    <w:rsid w:val="003559E8"/>
    <w:rsid w:val="003562EC"/>
    <w:rsid w:val="00357626"/>
    <w:rsid w:val="0036238B"/>
    <w:rsid w:val="003623E0"/>
    <w:rsid w:val="00367585"/>
    <w:rsid w:val="00376384"/>
    <w:rsid w:val="00380335"/>
    <w:rsid w:val="00381A75"/>
    <w:rsid w:val="00387A9F"/>
    <w:rsid w:val="00393AE1"/>
    <w:rsid w:val="0039700D"/>
    <w:rsid w:val="003A0273"/>
    <w:rsid w:val="003A08BA"/>
    <w:rsid w:val="003A12A7"/>
    <w:rsid w:val="003A1569"/>
    <w:rsid w:val="003A4058"/>
    <w:rsid w:val="003A7181"/>
    <w:rsid w:val="003A7CB2"/>
    <w:rsid w:val="003B2019"/>
    <w:rsid w:val="003B227D"/>
    <w:rsid w:val="003B3F35"/>
    <w:rsid w:val="003C2B33"/>
    <w:rsid w:val="003C51FE"/>
    <w:rsid w:val="003C629F"/>
    <w:rsid w:val="003C773C"/>
    <w:rsid w:val="003D2A65"/>
    <w:rsid w:val="003D2BFB"/>
    <w:rsid w:val="003D3B49"/>
    <w:rsid w:val="003E516C"/>
    <w:rsid w:val="003E568A"/>
    <w:rsid w:val="003F0BB8"/>
    <w:rsid w:val="003F1744"/>
    <w:rsid w:val="003F5054"/>
    <w:rsid w:val="003F580B"/>
    <w:rsid w:val="003F6EBB"/>
    <w:rsid w:val="004011F4"/>
    <w:rsid w:val="00403D81"/>
    <w:rsid w:val="00414639"/>
    <w:rsid w:val="00415D4A"/>
    <w:rsid w:val="00416081"/>
    <w:rsid w:val="00421AFC"/>
    <w:rsid w:val="00421F12"/>
    <w:rsid w:val="00421F91"/>
    <w:rsid w:val="00426F76"/>
    <w:rsid w:val="00431A67"/>
    <w:rsid w:val="00431C74"/>
    <w:rsid w:val="00432B63"/>
    <w:rsid w:val="00433AE1"/>
    <w:rsid w:val="00434CA6"/>
    <w:rsid w:val="00435539"/>
    <w:rsid w:val="00437359"/>
    <w:rsid w:val="00440217"/>
    <w:rsid w:val="004420F8"/>
    <w:rsid w:val="00443DD4"/>
    <w:rsid w:val="004443A8"/>
    <w:rsid w:val="004446D8"/>
    <w:rsid w:val="00444E89"/>
    <w:rsid w:val="004450A9"/>
    <w:rsid w:val="00451673"/>
    <w:rsid w:val="004536A9"/>
    <w:rsid w:val="00460FC9"/>
    <w:rsid w:val="00462075"/>
    <w:rsid w:val="00462FC6"/>
    <w:rsid w:val="00471D1D"/>
    <w:rsid w:val="004720A5"/>
    <w:rsid w:val="0047283B"/>
    <w:rsid w:val="00475F1A"/>
    <w:rsid w:val="004766F6"/>
    <w:rsid w:val="00477457"/>
    <w:rsid w:val="00480D02"/>
    <w:rsid w:val="00482DF3"/>
    <w:rsid w:val="00485014"/>
    <w:rsid w:val="004852A4"/>
    <w:rsid w:val="00486D71"/>
    <w:rsid w:val="00495F1A"/>
    <w:rsid w:val="004A0DF8"/>
    <w:rsid w:val="004A0F68"/>
    <w:rsid w:val="004A6D3C"/>
    <w:rsid w:val="004B0142"/>
    <w:rsid w:val="004B7C58"/>
    <w:rsid w:val="004C00C5"/>
    <w:rsid w:val="004C451C"/>
    <w:rsid w:val="004C45B8"/>
    <w:rsid w:val="004C52BD"/>
    <w:rsid w:val="004D09D7"/>
    <w:rsid w:val="004D1F03"/>
    <w:rsid w:val="004D4238"/>
    <w:rsid w:val="004D57FA"/>
    <w:rsid w:val="004D5E81"/>
    <w:rsid w:val="004E147A"/>
    <w:rsid w:val="004F18A4"/>
    <w:rsid w:val="004F2FB1"/>
    <w:rsid w:val="005030C2"/>
    <w:rsid w:val="005031A8"/>
    <w:rsid w:val="00503F44"/>
    <w:rsid w:val="00504F40"/>
    <w:rsid w:val="005115DB"/>
    <w:rsid w:val="00517D09"/>
    <w:rsid w:val="005202B6"/>
    <w:rsid w:val="00520C0F"/>
    <w:rsid w:val="0052442A"/>
    <w:rsid w:val="00524C35"/>
    <w:rsid w:val="0052735F"/>
    <w:rsid w:val="0053252D"/>
    <w:rsid w:val="00536BC9"/>
    <w:rsid w:val="00536E7B"/>
    <w:rsid w:val="005413BE"/>
    <w:rsid w:val="00541E28"/>
    <w:rsid w:val="005479E5"/>
    <w:rsid w:val="00547DB0"/>
    <w:rsid w:val="00552C78"/>
    <w:rsid w:val="00555B4F"/>
    <w:rsid w:val="005564F2"/>
    <w:rsid w:val="00557ADF"/>
    <w:rsid w:val="00557B84"/>
    <w:rsid w:val="0056148C"/>
    <w:rsid w:val="00561687"/>
    <w:rsid w:val="005638A4"/>
    <w:rsid w:val="00566BC1"/>
    <w:rsid w:val="00580B5E"/>
    <w:rsid w:val="00582940"/>
    <w:rsid w:val="0058487A"/>
    <w:rsid w:val="00590D0C"/>
    <w:rsid w:val="00592AB6"/>
    <w:rsid w:val="005A38ED"/>
    <w:rsid w:val="005A456E"/>
    <w:rsid w:val="005A618F"/>
    <w:rsid w:val="005B23F0"/>
    <w:rsid w:val="005B4DCB"/>
    <w:rsid w:val="005C2E7D"/>
    <w:rsid w:val="005C31EE"/>
    <w:rsid w:val="005C5712"/>
    <w:rsid w:val="005D15C7"/>
    <w:rsid w:val="005D60F9"/>
    <w:rsid w:val="005E165E"/>
    <w:rsid w:val="005E184A"/>
    <w:rsid w:val="005E31BD"/>
    <w:rsid w:val="005E3D9D"/>
    <w:rsid w:val="005E77CF"/>
    <w:rsid w:val="005F4C2A"/>
    <w:rsid w:val="005F5F6B"/>
    <w:rsid w:val="005F6803"/>
    <w:rsid w:val="005F7069"/>
    <w:rsid w:val="005F7167"/>
    <w:rsid w:val="00602E26"/>
    <w:rsid w:val="0060344F"/>
    <w:rsid w:val="00607C74"/>
    <w:rsid w:val="00610769"/>
    <w:rsid w:val="0061249C"/>
    <w:rsid w:val="006133D8"/>
    <w:rsid w:val="00614EE0"/>
    <w:rsid w:val="00615023"/>
    <w:rsid w:val="006153E9"/>
    <w:rsid w:val="006202E6"/>
    <w:rsid w:val="00620B71"/>
    <w:rsid w:val="006218B1"/>
    <w:rsid w:val="006257B9"/>
    <w:rsid w:val="00627776"/>
    <w:rsid w:val="006315DE"/>
    <w:rsid w:val="00634879"/>
    <w:rsid w:val="006368FA"/>
    <w:rsid w:val="00641512"/>
    <w:rsid w:val="00643853"/>
    <w:rsid w:val="00644680"/>
    <w:rsid w:val="006459A6"/>
    <w:rsid w:val="0065528A"/>
    <w:rsid w:val="0065703E"/>
    <w:rsid w:val="00667C73"/>
    <w:rsid w:val="0067768D"/>
    <w:rsid w:val="00683210"/>
    <w:rsid w:val="00687EF5"/>
    <w:rsid w:val="00690932"/>
    <w:rsid w:val="006967CD"/>
    <w:rsid w:val="006A4AA1"/>
    <w:rsid w:val="006A5BF1"/>
    <w:rsid w:val="006A7464"/>
    <w:rsid w:val="006A7484"/>
    <w:rsid w:val="006B705A"/>
    <w:rsid w:val="006C206C"/>
    <w:rsid w:val="006C4D2E"/>
    <w:rsid w:val="006C6C6C"/>
    <w:rsid w:val="006C7B03"/>
    <w:rsid w:val="006C7BDA"/>
    <w:rsid w:val="006D180C"/>
    <w:rsid w:val="006D591D"/>
    <w:rsid w:val="006D69D4"/>
    <w:rsid w:val="006E1020"/>
    <w:rsid w:val="006E209A"/>
    <w:rsid w:val="006E34B9"/>
    <w:rsid w:val="006E3782"/>
    <w:rsid w:val="006E6603"/>
    <w:rsid w:val="006E73FB"/>
    <w:rsid w:val="006F23BD"/>
    <w:rsid w:val="006F521D"/>
    <w:rsid w:val="00703EB0"/>
    <w:rsid w:val="007052AE"/>
    <w:rsid w:val="00707691"/>
    <w:rsid w:val="00707B4A"/>
    <w:rsid w:val="007119C1"/>
    <w:rsid w:val="00713596"/>
    <w:rsid w:val="00714DA3"/>
    <w:rsid w:val="00716596"/>
    <w:rsid w:val="007166F6"/>
    <w:rsid w:val="0072000E"/>
    <w:rsid w:val="00732A2C"/>
    <w:rsid w:val="00735F4C"/>
    <w:rsid w:val="007435A1"/>
    <w:rsid w:val="00743B1C"/>
    <w:rsid w:val="00746344"/>
    <w:rsid w:val="00746813"/>
    <w:rsid w:val="007502D4"/>
    <w:rsid w:val="00755058"/>
    <w:rsid w:val="0075743A"/>
    <w:rsid w:val="007632AB"/>
    <w:rsid w:val="00766BC1"/>
    <w:rsid w:val="0077079A"/>
    <w:rsid w:val="00770EB0"/>
    <w:rsid w:val="0077121C"/>
    <w:rsid w:val="00777787"/>
    <w:rsid w:val="0078339F"/>
    <w:rsid w:val="00784692"/>
    <w:rsid w:val="00790517"/>
    <w:rsid w:val="007928F3"/>
    <w:rsid w:val="00792FD5"/>
    <w:rsid w:val="00796913"/>
    <w:rsid w:val="007A1499"/>
    <w:rsid w:val="007A1C49"/>
    <w:rsid w:val="007A350F"/>
    <w:rsid w:val="007A5F7F"/>
    <w:rsid w:val="007A61EB"/>
    <w:rsid w:val="007B0B0B"/>
    <w:rsid w:val="007B30E1"/>
    <w:rsid w:val="007B3820"/>
    <w:rsid w:val="007B4117"/>
    <w:rsid w:val="007B4375"/>
    <w:rsid w:val="007C02A0"/>
    <w:rsid w:val="007C141F"/>
    <w:rsid w:val="007C2C2B"/>
    <w:rsid w:val="007D127E"/>
    <w:rsid w:val="007D18F1"/>
    <w:rsid w:val="007D2724"/>
    <w:rsid w:val="007D66D7"/>
    <w:rsid w:val="007E19E4"/>
    <w:rsid w:val="007E3856"/>
    <w:rsid w:val="007E6008"/>
    <w:rsid w:val="007F2FAB"/>
    <w:rsid w:val="007F4338"/>
    <w:rsid w:val="007F515F"/>
    <w:rsid w:val="007F79D5"/>
    <w:rsid w:val="008012D8"/>
    <w:rsid w:val="00814E53"/>
    <w:rsid w:val="0081778D"/>
    <w:rsid w:val="00822F23"/>
    <w:rsid w:val="00826034"/>
    <w:rsid w:val="00830DCF"/>
    <w:rsid w:val="00833AEC"/>
    <w:rsid w:val="00841070"/>
    <w:rsid w:val="0084198E"/>
    <w:rsid w:val="00842747"/>
    <w:rsid w:val="0084368E"/>
    <w:rsid w:val="0084763B"/>
    <w:rsid w:val="00850D00"/>
    <w:rsid w:val="00853AF0"/>
    <w:rsid w:val="00855671"/>
    <w:rsid w:val="00860212"/>
    <w:rsid w:val="008641E7"/>
    <w:rsid w:val="008754BB"/>
    <w:rsid w:val="008758A9"/>
    <w:rsid w:val="0087684E"/>
    <w:rsid w:val="00883137"/>
    <w:rsid w:val="008843B9"/>
    <w:rsid w:val="0088636C"/>
    <w:rsid w:val="00894439"/>
    <w:rsid w:val="008960BC"/>
    <w:rsid w:val="008A2650"/>
    <w:rsid w:val="008A4AD6"/>
    <w:rsid w:val="008A6959"/>
    <w:rsid w:val="008A7624"/>
    <w:rsid w:val="008B16A1"/>
    <w:rsid w:val="008B6D07"/>
    <w:rsid w:val="008C23D4"/>
    <w:rsid w:val="008C553E"/>
    <w:rsid w:val="008C556B"/>
    <w:rsid w:val="008D4B7E"/>
    <w:rsid w:val="008D5BB2"/>
    <w:rsid w:val="008D6A6C"/>
    <w:rsid w:val="008E5C36"/>
    <w:rsid w:val="008F291D"/>
    <w:rsid w:val="008F4E96"/>
    <w:rsid w:val="008F560B"/>
    <w:rsid w:val="009012F8"/>
    <w:rsid w:val="0090296C"/>
    <w:rsid w:val="00906089"/>
    <w:rsid w:val="00916359"/>
    <w:rsid w:val="00916862"/>
    <w:rsid w:val="00922D42"/>
    <w:rsid w:val="009244C9"/>
    <w:rsid w:val="00925B49"/>
    <w:rsid w:val="00925BF7"/>
    <w:rsid w:val="00930EC2"/>
    <w:rsid w:val="00931FE4"/>
    <w:rsid w:val="00933BDB"/>
    <w:rsid w:val="00934013"/>
    <w:rsid w:val="0093600B"/>
    <w:rsid w:val="00942A85"/>
    <w:rsid w:val="00944BDD"/>
    <w:rsid w:val="009460E2"/>
    <w:rsid w:val="00946FC7"/>
    <w:rsid w:val="00951642"/>
    <w:rsid w:val="00952C79"/>
    <w:rsid w:val="009549A3"/>
    <w:rsid w:val="00954C84"/>
    <w:rsid w:val="009634A1"/>
    <w:rsid w:val="0096590B"/>
    <w:rsid w:val="0097006A"/>
    <w:rsid w:val="00972FF4"/>
    <w:rsid w:val="00975752"/>
    <w:rsid w:val="0098016B"/>
    <w:rsid w:val="00981A63"/>
    <w:rsid w:val="009830EC"/>
    <w:rsid w:val="0098489B"/>
    <w:rsid w:val="00984DE6"/>
    <w:rsid w:val="00994EA7"/>
    <w:rsid w:val="009A3A66"/>
    <w:rsid w:val="009A6086"/>
    <w:rsid w:val="009A6154"/>
    <w:rsid w:val="009A773D"/>
    <w:rsid w:val="009A794F"/>
    <w:rsid w:val="009B2AF8"/>
    <w:rsid w:val="009B573D"/>
    <w:rsid w:val="009C15C5"/>
    <w:rsid w:val="009C20AE"/>
    <w:rsid w:val="009C20C5"/>
    <w:rsid w:val="009C29B6"/>
    <w:rsid w:val="009C4D60"/>
    <w:rsid w:val="009D04D6"/>
    <w:rsid w:val="009D159B"/>
    <w:rsid w:val="009D2962"/>
    <w:rsid w:val="009D31B2"/>
    <w:rsid w:val="009D4200"/>
    <w:rsid w:val="009D550B"/>
    <w:rsid w:val="009D5A58"/>
    <w:rsid w:val="009D642A"/>
    <w:rsid w:val="009E0869"/>
    <w:rsid w:val="009E1988"/>
    <w:rsid w:val="009E3806"/>
    <w:rsid w:val="009E5B0F"/>
    <w:rsid w:val="009F1296"/>
    <w:rsid w:val="009F49A4"/>
    <w:rsid w:val="009F6E54"/>
    <w:rsid w:val="00A02768"/>
    <w:rsid w:val="00A04256"/>
    <w:rsid w:val="00A10D03"/>
    <w:rsid w:val="00A1153E"/>
    <w:rsid w:val="00A12260"/>
    <w:rsid w:val="00A136E1"/>
    <w:rsid w:val="00A15A66"/>
    <w:rsid w:val="00A167BF"/>
    <w:rsid w:val="00A17B9D"/>
    <w:rsid w:val="00A20630"/>
    <w:rsid w:val="00A22EB8"/>
    <w:rsid w:val="00A241AD"/>
    <w:rsid w:val="00A33289"/>
    <w:rsid w:val="00A35C75"/>
    <w:rsid w:val="00A41AAD"/>
    <w:rsid w:val="00A51D54"/>
    <w:rsid w:val="00A54C25"/>
    <w:rsid w:val="00A54D7C"/>
    <w:rsid w:val="00A5512B"/>
    <w:rsid w:val="00A602A1"/>
    <w:rsid w:val="00A61851"/>
    <w:rsid w:val="00A63AB7"/>
    <w:rsid w:val="00A6742A"/>
    <w:rsid w:val="00A7030D"/>
    <w:rsid w:val="00A732C3"/>
    <w:rsid w:val="00A74B3B"/>
    <w:rsid w:val="00A74BCB"/>
    <w:rsid w:val="00A76854"/>
    <w:rsid w:val="00A7795B"/>
    <w:rsid w:val="00A77C9E"/>
    <w:rsid w:val="00A90A91"/>
    <w:rsid w:val="00A928C4"/>
    <w:rsid w:val="00A96F73"/>
    <w:rsid w:val="00AA3B22"/>
    <w:rsid w:val="00AA5187"/>
    <w:rsid w:val="00AB3441"/>
    <w:rsid w:val="00AB3B45"/>
    <w:rsid w:val="00AB4458"/>
    <w:rsid w:val="00AB57D7"/>
    <w:rsid w:val="00AB60BE"/>
    <w:rsid w:val="00AB7CE5"/>
    <w:rsid w:val="00AC1575"/>
    <w:rsid w:val="00AD1568"/>
    <w:rsid w:val="00AD1C8F"/>
    <w:rsid w:val="00AD2E06"/>
    <w:rsid w:val="00AE1385"/>
    <w:rsid w:val="00AE3482"/>
    <w:rsid w:val="00AE57BB"/>
    <w:rsid w:val="00AE6528"/>
    <w:rsid w:val="00AF3467"/>
    <w:rsid w:val="00AF4DC6"/>
    <w:rsid w:val="00AF736A"/>
    <w:rsid w:val="00B003B9"/>
    <w:rsid w:val="00B00BE2"/>
    <w:rsid w:val="00B01D72"/>
    <w:rsid w:val="00B064A1"/>
    <w:rsid w:val="00B06F42"/>
    <w:rsid w:val="00B07411"/>
    <w:rsid w:val="00B105AF"/>
    <w:rsid w:val="00B119A0"/>
    <w:rsid w:val="00B126F4"/>
    <w:rsid w:val="00B12EA3"/>
    <w:rsid w:val="00B13CCA"/>
    <w:rsid w:val="00B1599F"/>
    <w:rsid w:val="00B167BA"/>
    <w:rsid w:val="00B20B0A"/>
    <w:rsid w:val="00B2281E"/>
    <w:rsid w:val="00B30980"/>
    <w:rsid w:val="00B3175B"/>
    <w:rsid w:val="00B31B8C"/>
    <w:rsid w:val="00B336F4"/>
    <w:rsid w:val="00B35A57"/>
    <w:rsid w:val="00B400A7"/>
    <w:rsid w:val="00B5715A"/>
    <w:rsid w:val="00B579FC"/>
    <w:rsid w:val="00B62BF2"/>
    <w:rsid w:val="00B67667"/>
    <w:rsid w:val="00B703C1"/>
    <w:rsid w:val="00B729DF"/>
    <w:rsid w:val="00B76E8D"/>
    <w:rsid w:val="00B81AE1"/>
    <w:rsid w:val="00B82AEE"/>
    <w:rsid w:val="00B85DB5"/>
    <w:rsid w:val="00B902E5"/>
    <w:rsid w:val="00B90633"/>
    <w:rsid w:val="00B914EA"/>
    <w:rsid w:val="00B92DDD"/>
    <w:rsid w:val="00B964C9"/>
    <w:rsid w:val="00B965DE"/>
    <w:rsid w:val="00BA0BA8"/>
    <w:rsid w:val="00BA3195"/>
    <w:rsid w:val="00BA319D"/>
    <w:rsid w:val="00BA4E87"/>
    <w:rsid w:val="00BA61BE"/>
    <w:rsid w:val="00BC058D"/>
    <w:rsid w:val="00BC0683"/>
    <w:rsid w:val="00BC06DA"/>
    <w:rsid w:val="00BC1AC5"/>
    <w:rsid w:val="00BC4118"/>
    <w:rsid w:val="00BC5C69"/>
    <w:rsid w:val="00BC717F"/>
    <w:rsid w:val="00BC763F"/>
    <w:rsid w:val="00BD1484"/>
    <w:rsid w:val="00BD3FB0"/>
    <w:rsid w:val="00BE08DB"/>
    <w:rsid w:val="00BE13E3"/>
    <w:rsid w:val="00BE2F1B"/>
    <w:rsid w:val="00BE7316"/>
    <w:rsid w:val="00BE7933"/>
    <w:rsid w:val="00BE7C51"/>
    <w:rsid w:val="00BF0ED5"/>
    <w:rsid w:val="00BF0F36"/>
    <w:rsid w:val="00BF1687"/>
    <w:rsid w:val="00BF5AEE"/>
    <w:rsid w:val="00C004CF"/>
    <w:rsid w:val="00C0453F"/>
    <w:rsid w:val="00C151CD"/>
    <w:rsid w:val="00C1583A"/>
    <w:rsid w:val="00C159EF"/>
    <w:rsid w:val="00C15EA9"/>
    <w:rsid w:val="00C16D8D"/>
    <w:rsid w:val="00C17E5B"/>
    <w:rsid w:val="00C205BC"/>
    <w:rsid w:val="00C2213C"/>
    <w:rsid w:val="00C246BF"/>
    <w:rsid w:val="00C323AC"/>
    <w:rsid w:val="00C32D45"/>
    <w:rsid w:val="00C358D0"/>
    <w:rsid w:val="00C366A2"/>
    <w:rsid w:val="00C41AED"/>
    <w:rsid w:val="00C42502"/>
    <w:rsid w:val="00C425A1"/>
    <w:rsid w:val="00C43E6F"/>
    <w:rsid w:val="00C4598A"/>
    <w:rsid w:val="00C45E88"/>
    <w:rsid w:val="00C472C1"/>
    <w:rsid w:val="00C47783"/>
    <w:rsid w:val="00C535A4"/>
    <w:rsid w:val="00C53E25"/>
    <w:rsid w:val="00C547F5"/>
    <w:rsid w:val="00C65946"/>
    <w:rsid w:val="00C66E29"/>
    <w:rsid w:val="00C70826"/>
    <w:rsid w:val="00C70CF1"/>
    <w:rsid w:val="00C73101"/>
    <w:rsid w:val="00C7331B"/>
    <w:rsid w:val="00C73344"/>
    <w:rsid w:val="00C7364A"/>
    <w:rsid w:val="00C74714"/>
    <w:rsid w:val="00C75AED"/>
    <w:rsid w:val="00C87317"/>
    <w:rsid w:val="00C87A75"/>
    <w:rsid w:val="00C9032F"/>
    <w:rsid w:val="00C921E3"/>
    <w:rsid w:val="00C922D6"/>
    <w:rsid w:val="00C9267C"/>
    <w:rsid w:val="00C939AC"/>
    <w:rsid w:val="00C95893"/>
    <w:rsid w:val="00CA0CA4"/>
    <w:rsid w:val="00CA1C52"/>
    <w:rsid w:val="00CA1E34"/>
    <w:rsid w:val="00CA212A"/>
    <w:rsid w:val="00CA5833"/>
    <w:rsid w:val="00CA6E3C"/>
    <w:rsid w:val="00CA77D6"/>
    <w:rsid w:val="00CB0406"/>
    <w:rsid w:val="00CB054D"/>
    <w:rsid w:val="00CB1446"/>
    <w:rsid w:val="00CB33D6"/>
    <w:rsid w:val="00CB5E63"/>
    <w:rsid w:val="00CC0B89"/>
    <w:rsid w:val="00CC42D1"/>
    <w:rsid w:val="00CD0043"/>
    <w:rsid w:val="00CD02AE"/>
    <w:rsid w:val="00CD0CB3"/>
    <w:rsid w:val="00CD5B9B"/>
    <w:rsid w:val="00CD5D49"/>
    <w:rsid w:val="00CD5D77"/>
    <w:rsid w:val="00CD6D58"/>
    <w:rsid w:val="00CE08A5"/>
    <w:rsid w:val="00CE145E"/>
    <w:rsid w:val="00CE334E"/>
    <w:rsid w:val="00CF0304"/>
    <w:rsid w:val="00CF3F9A"/>
    <w:rsid w:val="00CF41A6"/>
    <w:rsid w:val="00CF78C6"/>
    <w:rsid w:val="00D01A9F"/>
    <w:rsid w:val="00D03D8C"/>
    <w:rsid w:val="00D05B64"/>
    <w:rsid w:val="00D05BD4"/>
    <w:rsid w:val="00D100C3"/>
    <w:rsid w:val="00D11ACA"/>
    <w:rsid w:val="00D12BD6"/>
    <w:rsid w:val="00D13331"/>
    <w:rsid w:val="00D13E15"/>
    <w:rsid w:val="00D14196"/>
    <w:rsid w:val="00D16D13"/>
    <w:rsid w:val="00D2107E"/>
    <w:rsid w:val="00D21EA3"/>
    <w:rsid w:val="00D247ED"/>
    <w:rsid w:val="00D25002"/>
    <w:rsid w:val="00D2512D"/>
    <w:rsid w:val="00D25CF1"/>
    <w:rsid w:val="00D32166"/>
    <w:rsid w:val="00D32897"/>
    <w:rsid w:val="00D34C65"/>
    <w:rsid w:val="00D363C3"/>
    <w:rsid w:val="00D410C2"/>
    <w:rsid w:val="00D41F02"/>
    <w:rsid w:val="00D44F69"/>
    <w:rsid w:val="00D46F0F"/>
    <w:rsid w:val="00D50779"/>
    <w:rsid w:val="00D57F6E"/>
    <w:rsid w:val="00D6401E"/>
    <w:rsid w:val="00D652A9"/>
    <w:rsid w:val="00D653DF"/>
    <w:rsid w:val="00D67A7C"/>
    <w:rsid w:val="00D7016E"/>
    <w:rsid w:val="00D735D8"/>
    <w:rsid w:val="00D743AA"/>
    <w:rsid w:val="00D800E9"/>
    <w:rsid w:val="00D8213A"/>
    <w:rsid w:val="00D84E3F"/>
    <w:rsid w:val="00D8573E"/>
    <w:rsid w:val="00D937E5"/>
    <w:rsid w:val="00D94388"/>
    <w:rsid w:val="00D9551B"/>
    <w:rsid w:val="00D97329"/>
    <w:rsid w:val="00D97687"/>
    <w:rsid w:val="00DA1272"/>
    <w:rsid w:val="00DA4370"/>
    <w:rsid w:val="00DA5015"/>
    <w:rsid w:val="00DA591F"/>
    <w:rsid w:val="00DA683E"/>
    <w:rsid w:val="00DB2E6C"/>
    <w:rsid w:val="00DB385B"/>
    <w:rsid w:val="00DB70D4"/>
    <w:rsid w:val="00DC19B7"/>
    <w:rsid w:val="00DC66AF"/>
    <w:rsid w:val="00DC6BD5"/>
    <w:rsid w:val="00DC7F66"/>
    <w:rsid w:val="00DD15FC"/>
    <w:rsid w:val="00DD37A5"/>
    <w:rsid w:val="00DD5E67"/>
    <w:rsid w:val="00DD7FA7"/>
    <w:rsid w:val="00DE001C"/>
    <w:rsid w:val="00DE0DE2"/>
    <w:rsid w:val="00DE48ED"/>
    <w:rsid w:val="00DE4A6D"/>
    <w:rsid w:val="00DF2AA8"/>
    <w:rsid w:val="00DF6751"/>
    <w:rsid w:val="00DF6AFB"/>
    <w:rsid w:val="00E03117"/>
    <w:rsid w:val="00E03331"/>
    <w:rsid w:val="00E0364D"/>
    <w:rsid w:val="00E069CC"/>
    <w:rsid w:val="00E223A6"/>
    <w:rsid w:val="00E2635D"/>
    <w:rsid w:val="00E26F64"/>
    <w:rsid w:val="00E30FB1"/>
    <w:rsid w:val="00E3489E"/>
    <w:rsid w:val="00E34FDE"/>
    <w:rsid w:val="00E36052"/>
    <w:rsid w:val="00E36155"/>
    <w:rsid w:val="00E365F8"/>
    <w:rsid w:val="00E4097D"/>
    <w:rsid w:val="00E420BB"/>
    <w:rsid w:val="00E42882"/>
    <w:rsid w:val="00E449AD"/>
    <w:rsid w:val="00E478CE"/>
    <w:rsid w:val="00E53C83"/>
    <w:rsid w:val="00E568A1"/>
    <w:rsid w:val="00E60DCC"/>
    <w:rsid w:val="00E62E8A"/>
    <w:rsid w:val="00E632CD"/>
    <w:rsid w:val="00E64F8E"/>
    <w:rsid w:val="00E650BD"/>
    <w:rsid w:val="00E65DA8"/>
    <w:rsid w:val="00E66EC9"/>
    <w:rsid w:val="00E74E40"/>
    <w:rsid w:val="00E75F6A"/>
    <w:rsid w:val="00E76E75"/>
    <w:rsid w:val="00E7736A"/>
    <w:rsid w:val="00E80601"/>
    <w:rsid w:val="00E80854"/>
    <w:rsid w:val="00E844B2"/>
    <w:rsid w:val="00E9393E"/>
    <w:rsid w:val="00E9429C"/>
    <w:rsid w:val="00E95218"/>
    <w:rsid w:val="00E96DDE"/>
    <w:rsid w:val="00EA419D"/>
    <w:rsid w:val="00EA64F3"/>
    <w:rsid w:val="00EB1708"/>
    <w:rsid w:val="00EB3A4D"/>
    <w:rsid w:val="00EB76E0"/>
    <w:rsid w:val="00EC5A06"/>
    <w:rsid w:val="00EC5DF9"/>
    <w:rsid w:val="00EC662F"/>
    <w:rsid w:val="00ED136D"/>
    <w:rsid w:val="00ED1D56"/>
    <w:rsid w:val="00ED5376"/>
    <w:rsid w:val="00ED770E"/>
    <w:rsid w:val="00EE461E"/>
    <w:rsid w:val="00EE7BAF"/>
    <w:rsid w:val="00EF5613"/>
    <w:rsid w:val="00EF69B2"/>
    <w:rsid w:val="00F0191E"/>
    <w:rsid w:val="00F03700"/>
    <w:rsid w:val="00F03D34"/>
    <w:rsid w:val="00F04F09"/>
    <w:rsid w:val="00F04F19"/>
    <w:rsid w:val="00F11061"/>
    <w:rsid w:val="00F12BD2"/>
    <w:rsid w:val="00F23791"/>
    <w:rsid w:val="00F23CC1"/>
    <w:rsid w:val="00F23D9B"/>
    <w:rsid w:val="00F248AB"/>
    <w:rsid w:val="00F26D9C"/>
    <w:rsid w:val="00F277D6"/>
    <w:rsid w:val="00F3519C"/>
    <w:rsid w:val="00F4198B"/>
    <w:rsid w:val="00F42DAD"/>
    <w:rsid w:val="00F42F6A"/>
    <w:rsid w:val="00F47641"/>
    <w:rsid w:val="00F52200"/>
    <w:rsid w:val="00F53404"/>
    <w:rsid w:val="00F552A8"/>
    <w:rsid w:val="00F61B6F"/>
    <w:rsid w:val="00F65493"/>
    <w:rsid w:val="00F70090"/>
    <w:rsid w:val="00F711F6"/>
    <w:rsid w:val="00F727AF"/>
    <w:rsid w:val="00F749F8"/>
    <w:rsid w:val="00F76411"/>
    <w:rsid w:val="00F80246"/>
    <w:rsid w:val="00F807AD"/>
    <w:rsid w:val="00F87E78"/>
    <w:rsid w:val="00F94839"/>
    <w:rsid w:val="00FA43D7"/>
    <w:rsid w:val="00FA6351"/>
    <w:rsid w:val="00FA7F2E"/>
    <w:rsid w:val="00FB17D4"/>
    <w:rsid w:val="00FB2722"/>
    <w:rsid w:val="00FB3110"/>
    <w:rsid w:val="00FB3C6D"/>
    <w:rsid w:val="00FB46E5"/>
    <w:rsid w:val="00FB7761"/>
    <w:rsid w:val="00FC0F7C"/>
    <w:rsid w:val="00FC22E6"/>
    <w:rsid w:val="00FC31C9"/>
    <w:rsid w:val="00FC403C"/>
    <w:rsid w:val="00FC6EAB"/>
    <w:rsid w:val="00FC7680"/>
    <w:rsid w:val="00FD0A41"/>
    <w:rsid w:val="00FD4AC0"/>
    <w:rsid w:val="00FD6830"/>
    <w:rsid w:val="00FD6CBE"/>
    <w:rsid w:val="00FE0BEB"/>
    <w:rsid w:val="00FE0EE0"/>
    <w:rsid w:val="00FE1428"/>
    <w:rsid w:val="00FE4D06"/>
    <w:rsid w:val="00FE6AE4"/>
    <w:rsid w:val="00FF031E"/>
    <w:rsid w:val="00FF31FC"/>
    <w:rsid w:val="00FF6AF2"/>
    <w:rsid w:val="00FF6DB3"/>
    <w:rsid w:val="00FF6DDB"/>
    <w:rsid w:val="00FF724F"/>
    <w:rsid w:val="023466C0"/>
    <w:rsid w:val="031D3EB0"/>
    <w:rsid w:val="03887DF1"/>
    <w:rsid w:val="04477A12"/>
    <w:rsid w:val="05465378"/>
    <w:rsid w:val="084D6C2A"/>
    <w:rsid w:val="08A3201F"/>
    <w:rsid w:val="08A502BB"/>
    <w:rsid w:val="0AC75818"/>
    <w:rsid w:val="0D11075B"/>
    <w:rsid w:val="0D82320D"/>
    <w:rsid w:val="0EF9321E"/>
    <w:rsid w:val="1340228E"/>
    <w:rsid w:val="14250FD5"/>
    <w:rsid w:val="14347578"/>
    <w:rsid w:val="14995D79"/>
    <w:rsid w:val="164275DF"/>
    <w:rsid w:val="1CF13818"/>
    <w:rsid w:val="1F8D258D"/>
    <w:rsid w:val="202253C5"/>
    <w:rsid w:val="20CF7B31"/>
    <w:rsid w:val="21A0525C"/>
    <w:rsid w:val="22591459"/>
    <w:rsid w:val="25E712D9"/>
    <w:rsid w:val="26D414FD"/>
    <w:rsid w:val="29A04C9D"/>
    <w:rsid w:val="2B5272A1"/>
    <w:rsid w:val="31745505"/>
    <w:rsid w:val="37994F7D"/>
    <w:rsid w:val="382F725D"/>
    <w:rsid w:val="41AC7052"/>
    <w:rsid w:val="4B467B8D"/>
    <w:rsid w:val="51CC7455"/>
    <w:rsid w:val="526D31C8"/>
    <w:rsid w:val="541B6FAE"/>
    <w:rsid w:val="570E1063"/>
    <w:rsid w:val="580267CB"/>
    <w:rsid w:val="58645AC3"/>
    <w:rsid w:val="58E6115F"/>
    <w:rsid w:val="5A393032"/>
    <w:rsid w:val="5BB15110"/>
    <w:rsid w:val="5CF42FA1"/>
    <w:rsid w:val="5EAA0845"/>
    <w:rsid w:val="605B6CDA"/>
    <w:rsid w:val="61115A6C"/>
    <w:rsid w:val="628A0132"/>
    <w:rsid w:val="62CD6914"/>
    <w:rsid w:val="658057EC"/>
    <w:rsid w:val="6A184540"/>
    <w:rsid w:val="6BEC4102"/>
    <w:rsid w:val="6D617984"/>
    <w:rsid w:val="6F5F19C8"/>
    <w:rsid w:val="70F01669"/>
    <w:rsid w:val="730D1BFA"/>
    <w:rsid w:val="7A124E54"/>
    <w:rsid w:val="7A2F6C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eastAsia="宋体" w:cs="Courier"/>
      <w:kern w:val="0"/>
      <w:sz w:val="20"/>
      <w:szCs w:val="20"/>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0"/>
    <w:rPr>
      <w:b/>
      <w:bCs/>
    </w:rPr>
  </w:style>
  <w:style w:type="paragraph" w:customStyle="1" w:styleId="12">
    <w:name w:val="列出段落1"/>
    <w:basedOn w:val="1"/>
    <w:qFormat/>
    <w:uiPriority w:val="34"/>
    <w:pPr>
      <w:ind w:firstLine="420" w:firstLineChars="200"/>
    </w:pPr>
    <w:rPr>
      <w:rFonts w:ascii="Calibri" w:hAnsi="Calibri" w:eastAsia="宋体" w:cs="黑体"/>
    </w:rPr>
  </w:style>
  <w:style w:type="character" w:customStyle="1" w:styleId="13">
    <w:name w:val="标题 1 Char"/>
    <w:basedOn w:val="10"/>
    <w:link w:val="2"/>
    <w:qFormat/>
    <w:uiPriority w:val="9"/>
    <w:rPr>
      <w:b/>
      <w:bCs/>
      <w:kern w:val="44"/>
      <w:sz w:val="44"/>
      <w:szCs w:val="44"/>
    </w:rPr>
  </w:style>
  <w:style w:type="character" w:customStyle="1" w:styleId="14">
    <w:name w:val="标题 2 Char"/>
    <w:basedOn w:val="10"/>
    <w:link w:val="3"/>
    <w:qFormat/>
    <w:uiPriority w:val="9"/>
    <w:rPr>
      <w:rFonts w:asciiTheme="majorHAnsi" w:hAnsiTheme="majorHAnsi" w:eastAsiaTheme="majorEastAsia" w:cstheme="majorBidi"/>
      <w:b/>
      <w:bCs/>
      <w:sz w:val="32"/>
      <w:szCs w:val="32"/>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0"/>
    <w:link w:val="4"/>
    <w:semiHidden/>
    <w:qFormat/>
    <w:uiPriority w:val="99"/>
    <w:rPr>
      <w:sz w:val="18"/>
      <w:szCs w:val="18"/>
    </w:rPr>
  </w:style>
  <w:style w:type="paragraph" w:styleId="19">
    <w:name w:val="No Spacing"/>
    <w:qFormat/>
    <w:uiPriority w:val="1"/>
    <w:pPr>
      <w:widowControl w:val="0"/>
      <w:jc w:val="both"/>
    </w:pPr>
    <w:rPr>
      <w:rFonts w:ascii="Calibri" w:hAnsi="Calibri" w:eastAsia="宋体" w:cs="Times New Roman"/>
      <w:kern w:val="2"/>
      <w:sz w:val="24"/>
      <w:szCs w:val="24"/>
      <w:lang w:val="en-US" w:eastAsia="zh-CN" w:bidi="ar-SA"/>
    </w:rPr>
  </w:style>
  <w:style w:type="character" w:customStyle="1" w:styleId="20">
    <w:name w:val="HTML 预设格式 Char"/>
    <w:basedOn w:val="10"/>
    <w:link w:val="7"/>
    <w:qFormat/>
    <w:uiPriority w:val="99"/>
    <w:rPr>
      <w:rFonts w:ascii="Courier" w:hAnsi="Courier" w:eastAsia="宋体" w:cs="Courier"/>
      <w:kern w:val="0"/>
      <w:sz w:val="20"/>
      <w:szCs w:val="20"/>
    </w:rPr>
  </w:style>
  <w:style w:type="paragraph" w:customStyle="1" w:styleId="21">
    <w:name w:val="_Style 20"/>
    <w:basedOn w:val="1"/>
    <w:next w:val="17"/>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经典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2050"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32DDFB-8B0C-43BA-BC20-39081708A09B}">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1484</Words>
  <Characters>8465</Characters>
  <Lines>70</Lines>
  <Paragraphs>19</Paragraphs>
  <TotalTime>7</TotalTime>
  <ScaleCrop>false</ScaleCrop>
  <LinksUpToDate>false</LinksUpToDate>
  <CharactersWithSpaces>9930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2019-11-14T15:29:00Z</dcterms:created>
  <dc:creator>CN=朱筠/OU=市场监管处/O=serchzma01</dc:creator>
  <cp:lastModifiedBy>smnpc</cp:lastModifiedBy>
  <cp:lastPrinted>2026-09-30T07:48:30Z</cp:lastPrinted>
  <dcterms:modified xsi:type="dcterms:W3CDTF">2026-09-30T08:09:59Z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8FD4DF3BC4304C2AA1B16D5C39070C20</vt:lpwstr>
  </property>
</Properties>
</file>